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Contacts for Online Houston Based Credit Legal Issues</w:t>
      </w:r>
    </w:p>
    <w:p>
      <w:pPr>
        <w:pStyle w:val="Normal"/>
        <w:rPr/>
      </w:pPr>
      <w:r>
        <w:rPr/>
      </w:r>
    </w:p>
    <w:p>
      <w:pPr>
        <w:pStyle w:val="Subtitle"/>
        <w:rPr>
          <w:u w:val="single"/>
        </w:rPr>
      </w:pPr>
      <w:r>
        <w:rPr>
          <w:u w:val="single"/>
        </w:rPr>
        <w:t>EnronOnline and ClickPaper Counterparty and Product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Legal Counterparty Approvals Coordinator:  Tana Jones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Contact(s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Phone Numbers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Trading (includes ClickPaper financial)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Gas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853-6911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Stacy Dickson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853-5705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Power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Emerging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853-3214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Pulp, Paper &amp; Lumber (including ClickPaper physical)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Steel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Petrochemicals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Natural Gas Liquids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Coal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Wayne Gresham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853-1485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Emissions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Broadband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Robbi Rossi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345-7268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Marie Heard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853-3907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Minns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011 612 9229 2310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Japan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McBride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011 5411 4313 2916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Viverito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345-7814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Transwestern Pipeline Auction 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Tony Pryor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853-9467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Other Online Legal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ClickPaper.com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Travis McCullough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853-1575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European/London Based Product Approvals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Edmund Cooper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011 44 20 7783 5382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Amendments to ETA’s &amp; PA’s, Confidentiality Agreements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Misc Agreements (Servicing Agreements, Licensing Agreements, etc.)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152" w:right="1152" w:gutter="0" w:header="0" w:top="1152" w:footer="720" w:bottom="1152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/mnt/main-storage/datasets/enron-docs/doc/Contacts_for_Online_Counterparty_Approvals.doc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2000-09-22T18:09:00Z</dcterms:created>
  <dc:creator>tjones</dc:creator>
  <dc:description/>
  <dc:language>en-CA</dc:language>
  <cp:lastModifiedBy>tjones</cp:lastModifiedBy>
  <cp:lastPrinted>2000-09-25T10:15:00Z</cp:lastPrinted>
  <dcterms:modified xsi:type="dcterms:W3CDTF">2000-09-25T13:20:00Z</dcterms:modified>
  <cp:revision>18</cp:revision>
  <dc:subject/>
  <dc:title>Contacts for Online Counterparty Approvals</dc:title>
</cp:coreProperties>
</file>