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rPr>
          <w:color w:val="000000"/>
        </w:rPr>
      </w:pPr>
      <w:r>
        <w:rPr>
          <w:color w:val="000000"/>
        </w:rPr>
      </w:r>
      <w:bookmarkStart w:id="0" w:name="StartOfMemo"/>
      <w:bookmarkStart w:id="1" w:name="StartOfMemo"/>
      <w:bookmarkEnd w:id="1"/>
      <w:r>
        <mc:AlternateContent>
          <mc:Choice Requires="wps">
            <w:drawing>
              <wp:anchor behindDoc="0" distT="0" distB="0" distL="118745" distR="118745" simplePos="0" locked="0" layoutInCell="0" allowOverlap="1" relativeHeight="2">
                <wp:simplePos x="0" y="0"/>
                <wp:positionH relativeFrom="page">
                  <wp:posOffset>476250</wp:posOffset>
                </wp:positionH>
                <wp:positionV relativeFrom="page">
                  <wp:posOffset>302260</wp:posOffset>
                </wp:positionV>
                <wp:extent cx="906145" cy="1073785"/>
                <wp:effectExtent l="0" t="0" r="0" b="0"/>
                <wp:wrapSquare wrapText="bothSides"/>
                <wp:docPr id="1" name="Frame1"/>
                <a:graphic xmlns:a="http://schemas.openxmlformats.org/drawingml/2006/main">
                  <a:graphicData uri="http://schemas.microsoft.com/office/word/2010/wordprocessingShape">
                    <wps:wsp>
                      <wps:cNvSpPr txBox="1"/>
                      <wps:spPr>
                        <a:xfrm>
                          <a:off x="0" y="0"/>
                          <a:ext cx="906145" cy="1073785"/>
                        </a:xfrm>
                        <a:prstGeom prst="rect"/>
                        <a:solidFill>
                          <a:srgbClr val="FFFFFF">
                            <a:alpha val="0"/>
                          </a:srgbClr>
                        </a:solidFill>
                      </wps:spPr>
                      <wps:txbx>
                        <w:txbxContent>
                          <w:p>
                            <w:pPr>
                              <w:pStyle w:val="Heading"/>
                              <w:rPr/>
                            </w:pPr>
                            <w:r>
                              <w:rPr/>
                              <w:object w:dxaOrig="1427" w:dyaOrig="14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35pt;height:70.75pt" filled="f" o:ole="">
                                  <v:imagedata r:id="rId3" o:title=""/>
                                </v:shape>
                                <o:OLEObject Type="Embed" ProgID="" ShapeID="ole_rId2" DrawAspect="Content" ObjectID="_93909507" r:id="rId2"/>
                              </w:object>
                            </w:r>
                          </w:p>
                          <w:p>
                            <w:pPr>
                              <w:pStyle w:val="Heading"/>
                              <w:rPr/>
                            </w:pPr>
                            <w:r>
                              <w:rPr/>
                            </w:r>
                          </w:p>
                        </w:txbxContent>
                      </wps:txbx>
                      <wps:bodyPr anchor="t" lIns="0" tIns="0" rIns="0" bIns="0">
                        <a:noAutofit/>
                      </wps:bodyPr>
                    </wps:wsp>
                  </a:graphicData>
                </a:graphic>
              </wp:anchor>
            </w:drawing>
          </mc:Choice>
          <mc:Fallback>
            <w:pict>
              <v:rect fillcolor="#FFFFFF" style="position:absolute;rotation:-0;width:71.35pt;height:84.55pt;mso-wrap-distance-left:9.35pt;mso-wrap-distance-right:9.35pt;mso-wrap-distance-top:0pt;mso-wrap-distance-bottom:0pt;margin-top:23.8pt;mso-position-vertical-relative:page;margin-left:37.5pt;mso-position-horizontal-relative:page">
                <v:fill opacity="0f"/>
                <v:textbox inset="0in,0in,0in,0in">
                  <w:txbxContent>
                    <w:p>
                      <w:pPr>
                        <w:pStyle w:val="Heading"/>
                        <w:rPr/>
                      </w:pPr>
                      <w:r>
                        <w:rPr/>
                        <w:object w:dxaOrig="1427" w:dyaOrig="14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1.35pt;height:70.75pt" filled="f" o:ole="">
                            <v:imagedata r:id="rId5" o:title=""/>
                          </v:shape>
                          <o:OLEObject Type="Embed" ProgID="" ShapeID="ole_rId4" DrawAspect="Content" ObjectID="_92355768" r:id="rId4"/>
                        </w:object>
                      </w:r>
                    </w:p>
                    <w:p>
                      <w:pPr>
                        <w:pStyle w:val="Heading"/>
                        <w:rPr/>
                      </w:pPr>
                      <w:r>
                        <w:rPr/>
                      </w:r>
                    </w:p>
                  </w:txbxContent>
                </v:textbox>
                <w10:wrap type="square"/>
              </v:rect>
            </w:pict>
          </mc:Fallback>
        </mc:AlternateContent>
      </w:r>
    </w:p>
    <w:p>
      <w:pPr>
        <w:pStyle w:val="Body"/>
        <w:rPr>
          <w:color w:val="000000"/>
        </w:rPr>
      </w:pPr>
      <w:r>
        <w:rPr>
          <w:color w:val="000000"/>
        </w:rPr>
      </w:r>
    </w:p>
    <w:p>
      <w:pPr>
        <w:pStyle w:val="Body"/>
        <w:spacing w:before="0" w:after="1200"/>
        <w:rPr>
          <w:color w:val="000000"/>
          <w:lang w:val="en-CA" w:eastAsia="en-CA"/>
        </w:rPr>
      </w:pPr>
      <w:r>
        <w:rPr>
          <w:color w:val="000000"/>
          <w:lang w:val="en-CA" w:eastAsia="en-CA"/>
        </w:rPr>
        <w:drawing>
          <wp:anchor behindDoc="0" distT="0" distB="0" distL="114935" distR="114935" simplePos="0" locked="0" layoutInCell="1" allowOverlap="1" relativeHeight="4">
            <wp:simplePos x="0" y="0"/>
            <wp:positionH relativeFrom="column">
              <wp:posOffset>-267970</wp:posOffset>
            </wp:positionH>
            <wp:positionV relativeFrom="paragraph">
              <wp:posOffset>74295</wp:posOffset>
            </wp:positionV>
            <wp:extent cx="7398385" cy="742950"/>
            <wp:effectExtent l="0" t="0" r="0" b="0"/>
            <wp:wrapNone/>
            <wp:docPr id="2" name="bd14576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14576_" descr="" title=""/>
                    <pic:cNvPicPr>
                      <a:picLocks noChangeAspect="1" noChangeArrowheads="1"/>
                    </pic:cNvPicPr>
                  </pic:nvPicPr>
                  <pic:blipFill>
                    <a:blip r:embed="rId6"/>
                    <a:srcRect l="-6" t="-63" r="-6" b="-63"/>
                    <a:stretch>
                      <a:fillRect/>
                    </a:stretch>
                  </pic:blipFill>
                  <pic:spPr bwMode="auto">
                    <a:xfrm>
                      <a:off x="0" y="0"/>
                      <a:ext cx="7398385" cy="74295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5">
                <wp:simplePos x="0" y="0"/>
                <wp:positionH relativeFrom="column">
                  <wp:posOffset>704850</wp:posOffset>
                </wp:positionH>
                <wp:positionV relativeFrom="paragraph">
                  <wp:posOffset>29845</wp:posOffset>
                </wp:positionV>
                <wp:extent cx="2114550" cy="828675"/>
                <wp:effectExtent l="0" t="0" r="0" b="0"/>
                <wp:wrapNone/>
                <wp:docPr id="3" name="Frame3"/>
                <a:graphic xmlns:a="http://schemas.openxmlformats.org/drawingml/2006/main">
                  <a:graphicData uri="http://schemas.microsoft.com/office/word/2010/wordprocessingShape">
                    <wps:wsp>
                      <wps:cNvSpPr txBox="1"/>
                      <wps:spPr>
                        <a:xfrm>
                          <a:off x="0" y="0"/>
                          <a:ext cx="2114550" cy="828675"/>
                        </a:xfrm>
                        <a:prstGeom prst="rect"/>
                        <a:solidFill>
                          <a:srgbClr val="FFFFFF">
                            <a:alpha val="0"/>
                          </a:srgbClr>
                        </a:solidFill>
                      </wps:spPr>
                      <wps:txbx>
                        <w:txbxContent>
                          <w:p>
                            <w:pPr>
                              <w:pStyle w:val="Normal"/>
                              <w:tabs>
                                <w:tab w:val="clear" w:pos="720"/>
                                <w:tab w:val="left" w:pos="1080" w:leader="none"/>
                                <w:tab w:val="left" w:pos="6480" w:leader="none"/>
                              </w:tabs>
                              <w:spacing w:before="60" w:after="60"/>
                              <w:rPr>
                                <w:b/>
                                <w:bCs/>
                                <w:sz w:val="24"/>
                              </w:rPr>
                            </w:pPr>
                            <w:r>
                              <w:rPr>
                                <w:b/>
                                <w:bCs/>
                                <w:sz w:val="24"/>
                              </w:rPr>
                              <w:t>To:</w:t>
                              <w:tab/>
                              <w:t>Shelley Corman</w:t>
                            </w:r>
                          </w:p>
                          <w:p>
                            <w:pPr>
                              <w:pStyle w:val="Subject"/>
                              <w:tabs>
                                <w:tab w:val="clear" w:pos="720"/>
                                <w:tab w:val="left" w:pos="1080" w:leader="none"/>
                                <w:tab w:val="left" w:pos="6480" w:leader="none"/>
                              </w:tabs>
                              <w:spacing w:before="60" w:after="60"/>
                              <w:rPr>
                                <w:b/>
                                <w:bCs/>
                                <w:sz w:val="24"/>
                              </w:rPr>
                            </w:pPr>
                            <w:r>
                              <w:rPr>
                                <w:b/>
                                <w:bCs/>
                                <w:sz w:val="24"/>
                              </w:rPr>
                              <w:t>From:</w:t>
                              <w:tab/>
                              <w:t>Rick Dietz</w:t>
                            </w:r>
                          </w:p>
                          <w:p>
                            <w:pPr>
                              <w:pStyle w:val="Subject"/>
                              <w:tabs>
                                <w:tab w:val="clear" w:pos="720"/>
                                <w:tab w:val="left" w:pos="1080" w:leader="none"/>
                                <w:tab w:val="left" w:pos="6480" w:leader="none"/>
                              </w:tabs>
                              <w:spacing w:before="60" w:after="60"/>
                              <w:rPr>
                                <w:b/>
                                <w:bCs/>
                                <w:sz w:val="24"/>
                              </w:rPr>
                            </w:pPr>
                            <w:r>
                              <w:rPr>
                                <w:b/>
                                <w:bCs/>
                                <w:sz w:val="24"/>
                              </w:rPr>
                              <w:t>Subject:</w:t>
                              <w:tab/>
                              <w:t xml:space="preserve">Weekly Bullets </w:t>
                            </w:r>
                          </w:p>
                        </w:txbxContent>
                      </wps:txbx>
                      <wps:bodyPr anchor="t" lIns="92075" tIns="46355" rIns="92075" bIns="46355">
                        <a:noAutofit/>
                      </wps:bodyPr>
                    </wps:wsp>
                  </a:graphicData>
                </a:graphic>
              </wp:anchor>
            </w:drawing>
          </mc:Choice>
          <mc:Fallback>
            <w:pict>
              <v:rect fillcolor="#FFFFFF" style="position:absolute;rotation:-0;width:166.5pt;height:65.25pt;mso-wrap-distance-left:9.05pt;mso-wrap-distance-right:9.05pt;mso-wrap-distance-top:0pt;mso-wrap-distance-bottom:0pt;margin-top:2.35pt;mso-position-vertical-relative:text;margin-left:55.5pt;mso-position-horizontal-relative:text">
                <v:fill opacity="0f"/>
                <v:textbox inset="0.100694444444444in,0.0506944444444444in,0.100694444444444in,0.0506944444444444in">
                  <w:txbxContent>
                    <w:p>
                      <w:pPr>
                        <w:pStyle w:val="Normal"/>
                        <w:tabs>
                          <w:tab w:val="clear" w:pos="720"/>
                          <w:tab w:val="left" w:pos="1080" w:leader="none"/>
                          <w:tab w:val="left" w:pos="6480" w:leader="none"/>
                        </w:tabs>
                        <w:spacing w:before="60" w:after="60"/>
                        <w:rPr>
                          <w:b/>
                          <w:bCs/>
                          <w:sz w:val="24"/>
                        </w:rPr>
                      </w:pPr>
                      <w:r>
                        <w:rPr>
                          <w:b/>
                          <w:bCs/>
                          <w:sz w:val="24"/>
                        </w:rPr>
                        <w:t>To:</w:t>
                        <w:tab/>
                        <w:t>Shelley Corman</w:t>
                      </w:r>
                    </w:p>
                    <w:p>
                      <w:pPr>
                        <w:pStyle w:val="Subject"/>
                        <w:tabs>
                          <w:tab w:val="clear" w:pos="720"/>
                          <w:tab w:val="left" w:pos="1080" w:leader="none"/>
                          <w:tab w:val="left" w:pos="6480" w:leader="none"/>
                        </w:tabs>
                        <w:spacing w:before="60" w:after="60"/>
                        <w:rPr>
                          <w:b/>
                          <w:bCs/>
                          <w:sz w:val="24"/>
                        </w:rPr>
                      </w:pPr>
                      <w:r>
                        <w:rPr>
                          <w:b/>
                          <w:bCs/>
                          <w:sz w:val="24"/>
                        </w:rPr>
                        <w:t>From:</w:t>
                        <w:tab/>
                        <w:t>Rick Dietz</w:t>
                      </w:r>
                    </w:p>
                    <w:p>
                      <w:pPr>
                        <w:pStyle w:val="Subject"/>
                        <w:tabs>
                          <w:tab w:val="clear" w:pos="720"/>
                          <w:tab w:val="left" w:pos="1080" w:leader="none"/>
                          <w:tab w:val="left" w:pos="6480" w:leader="none"/>
                        </w:tabs>
                        <w:spacing w:before="60" w:after="60"/>
                        <w:rPr>
                          <w:b/>
                          <w:bCs/>
                          <w:sz w:val="24"/>
                        </w:rPr>
                      </w:pPr>
                      <w:r>
                        <w:rPr>
                          <w:b/>
                          <w:bCs/>
                          <w:sz w:val="24"/>
                        </w:rPr>
                        <w:t>Subject:</w:t>
                        <w:tab/>
                        <w:t xml:space="preserve">Weekly Bullets </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4686300</wp:posOffset>
                </wp:positionH>
                <wp:positionV relativeFrom="paragraph">
                  <wp:posOffset>467995</wp:posOffset>
                </wp:positionV>
                <wp:extent cx="1924050" cy="342900"/>
                <wp:effectExtent l="0" t="0" r="0" b="0"/>
                <wp:wrapNone/>
                <wp:docPr id="4" name="Frame2"/>
                <a:graphic xmlns:a="http://schemas.openxmlformats.org/drawingml/2006/main">
                  <a:graphicData uri="http://schemas.microsoft.com/office/word/2010/wordprocessingShape">
                    <wps:wsp>
                      <wps:cNvSpPr txBox="1"/>
                      <wps:spPr>
                        <a:xfrm>
                          <a:off x="0" y="0"/>
                          <a:ext cx="1924050" cy="342900"/>
                        </a:xfrm>
                        <a:prstGeom prst="rect"/>
                        <a:solidFill>
                          <a:srgbClr val="FFFFFF">
                            <a:alpha val="0"/>
                          </a:srgbClr>
                        </a:solidFill>
                      </wps:spPr>
                      <wps:txbx>
                        <w:txbxContent>
                          <w:p>
                            <w:pPr>
                              <w:pStyle w:val="Subject"/>
                              <w:tabs>
                                <w:tab w:val="left" w:pos="720" w:leader="none"/>
                              </w:tabs>
                              <w:rPr>
                                <w:b/>
                                <w:bCs/>
                                <w:sz w:val="24"/>
                              </w:rPr>
                            </w:pPr>
                            <w:r>
                              <w:rPr>
                                <w:b/>
                                <w:bCs/>
                                <w:sz w:val="24"/>
                              </w:rPr>
                              <w:t>Date:</w:t>
                              <w:tab/>
                              <w:t>November 21, 2001</w:t>
                            </w:r>
                          </w:p>
                        </w:txbxContent>
                      </wps:txbx>
                      <wps:bodyPr anchor="t" lIns="92075" tIns="46355" rIns="92075" bIns="46355">
                        <a:noAutofit/>
                      </wps:bodyPr>
                    </wps:wsp>
                  </a:graphicData>
                </a:graphic>
              </wp:anchor>
            </w:drawing>
          </mc:Choice>
          <mc:Fallback>
            <w:pict>
              <v:rect fillcolor="#FFFFFF" style="position:absolute;rotation:-0;width:151.5pt;height:27pt;mso-wrap-distance-left:9.05pt;mso-wrap-distance-right:9.05pt;mso-wrap-distance-top:0pt;mso-wrap-distance-bottom:0pt;margin-top:36.85pt;mso-position-vertical-relative:text;margin-left:369pt;mso-position-horizontal-relative:text">
                <v:fill opacity="0f"/>
                <v:textbox inset="0.100694444444444in,0.0506944444444444in,0.100694444444444in,0.0506944444444444in">
                  <w:txbxContent>
                    <w:p>
                      <w:pPr>
                        <w:pStyle w:val="Subject"/>
                        <w:tabs>
                          <w:tab w:val="left" w:pos="720" w:leader="none"/>
                        </w:tabs>
                        <w:rPr>
                          <w:b/>
                          <w:bCs/>
                          <w:sz w:val="24"/>
                        </w:rPr>
                      </w:pPr>
                      <w:r>
                        <w:rPr>
                          <w:b/>
                          <w:bCs/>
                          <w:sz w:val="24"/>
                        </w:rPr>
                        <w:t>Date:</w:t>
                        <w:tab/>
                        <w:t>November 21, 2001</w:t>
                      </w:r>
                    </w:p>
                  </w:txbxContent>
                </v:textbox>
                <w10:wrap type="none"/>
              </v:rect>
            </w:pict>
          </mc:Fallback>
        </mc:AlternateContent>
      </w:r>
    </w:p>
    <w:p>
      <w:pPr>
        <w:pStyle w:val="Body"/>
        <w:ind w:start="0" w:end="360"/>
        <w:rPr>
          <w:i/>
          <w:i/>
          <w:color w:val="000000"/>
          <w:sz w:val="28"/>
        </w:rPr>
      </w:pPr>
      <w:r>
        <w:rPr>
          <w:b/>
          <w:i/>
          <w:color w:val="000000"/>
          <w:sz w:val="28"/>
          <w:u w:val="single"/>
        </w:rPr>
        <w:t>CONTRACTS</w:t>
      </w:r>
    </w:p>
    <w:p>
      <w:pPr>
        <w:pStyle w:val="Normal"/>
        <w:numPr>
          <w:ilvl w:val="0"/>
          <w:numId w:val="3"/>
        </w:numPr>
        <w:jc w:val="both"/>
        <w:rPr/>
      </w:pPr>
      <w:r>
        <w:rPr/>
        <w:t>Conducted Customer training on CMS for Florida Power and Light.  A total of 9 customers attended the training. (Karen)</w:t>
      </w:r>
    </w:p>
    <w:p>
      <w:pPr>
        <w:pStyle w:val="Normal"/>
        <w:numPr>
          <w:ilvl w:val="0"/>
          <w:numId w:val="3"/>
        </w:numPr>
        <w:jc w:val="both"/>
        <w:rPr/>
      </w:pPr>
      <w:r>
        <w:rPr/>
        <w:t>Began testing Transwestern’s new CMS application. (Karen)</w:t>
      </w:r>
    </w:p>
    <w:p>
      <w:pPr>
        <w:pStyle w:val="Normal"/>
        <w:numPr>
          <w:ilvl w:val="0"/>
          <w:numId w:val="3"/>
        </w:numPr>
        <w:jc w:val="both"/>
        <w:rPr/>
      </w:pPr>
      <w:r>
        <w:rPr/>
        <w:t>Continuing to set up new Florida Gas transportation points. There have been approximately 12 new points set up during the past 2-3 weeks. (Karen)</w:t>
      </w:r>
    </w:p>
    <w:p>
      <w:pPr>
        <w:pStyle w:val="Normal"/>
        <w:numPr>
          <w:ilvl w:val="0"/>
          <w:numId w:val="3"/>
        </w:numPr>
        <w:autoSpaceDE w:val="false"/>
        <w:jc w:val="both"/>
        <w:rPr>
          <w:color w:val="000000"/>
        </w:rPr>
      </w:pPr>
      <w:r>
        <w:rPr>
          <w:color w:val="000000"/>
        </w:rPr>
        <w:t>Provided volume information to TW Marketing group showing volumes scheduled West of Thoreau from May, 2000 through October, 2001.  This information is expected to be used to respond to criticism by the California PUC. (Dennis)</w:t>
      </w:r>
    </w:p>
    <w:p>
      <w:pPr>
        <w:pStyle w:val="Normal"/>
        <w:numPr>
          <w:ilvl w:val="0"/>
          <w:numId w:val="3"/>
        </w:numPr>
        <w:autoSpaceDE w:val="false"/>
        <w:jc w:val="both"/>
        <w:rPr>
          <w:color w:val="000000"/>
        </w:rPr>
      </w:pPr>
      <w:r>
        <w:rPr>
          <w:color w:val="000000"/>
        </w:rPr>
        <w:t>Working on New Contract System for Transwestern. (Dennis)</w:t>
      </w:r>
    </w:p>
    <w:p>
      <w:pPr>
        <w:pStyle w:val="Normal"/>
        <w:autoSpaceDE w:val="false"/>
        <w:ind w:end="360"/>
        <w:jc w:val="both"/>
        <w:rPr>
          <w:color w:val="000000"/>
        </w:rPr>
      </w:pPr>
      <w:r>
        <w:rPr>
          <w:color w:val="000000"/>
        </w:rPr>
      </w:r>
    </w:p>
    <w:p>
      <w:pPr>
        <w:pStyle w:val="Normal"/>
        <w:autoSpaceDE w:val="false"/>
        <w:ind w:end="360"/>
        <w:rPr>
          <w:rFonts w:ascii="Arial" w:hAnsi="Arial" w:cs="Arial"/>
          <w:color w:val="000000"/>
        </w:rPr>
      </w:pPr>
      <w:r>
        <w:rPr>
          <w:b/>
          <w:i/>
          <w:sz w:val="28"/>
          <w:u w:val="single"/>
        </w:rPr>
        <w:t>ACCOUNTING CONTROL</w:t>
      </w:r>
    </w:p>
    <w:p>
      <w:pPr>
        <w:pStyle w:val="Normal"/>
        <w:numPr>
          <w:ilvl w:val="0"/>
          <w:numId w:val="2"/>
        </w:numPr>
        <w:autoSpaceDE w:val="false"/>
        <w:jc w:val="both"/>
        <w:rPr>
          <w:color w:val="000000"/>
        </w:rPr>
      </w:pPr>
      <w:r>
        <w:rPr>
          <w:color w:val="000000"/>
        </w:rPr>
        <w:t>Harry, Joe, Robert and I went to lunch with Duke Energy (Shawn Davis, Shawn Amalya, Jeanne Robins) and meet with them at their office to continue reconciling their accounts receivable, and their OBA imbalance. (Larry)</w:t>
      </w:r>
    </w:p>
    <w:p>
      <w:pPr>
        <w:pStyle w:val="Normal"/>
        <w:numPr>
          <w:ilvl w:val="0"/>
          <w:numId w:val="2"/>
        </w:numPr>
        <w:autoSpaceDE w:val="false"/>
        <w:jc w:val="both"/>
        <w:rPr>
          <w:color w:val="000000"/>
        </w:rPr>
      </w:pPr>
      <w:r>
        <w:rPr>
          <w:color w:val="000000"/>
        </w:rPr>
        <w:t>Met with the IT group (Joanne Bisbee, Lisa Gilchrist, and Lisa Sawyer) on review a survey I did on the Flowing Gas project. (Larry)</w:t>
      </w:r>
    </w:p>
    <w:p>
      <w:pPr>
        <w:pStyle w:val="Normal"/>
        <w:numPr>
          <w:ilvl w:val="0"/>
          <w:numId w:val="2"/>
        </w:numPr>
        <w:autoSpaceDE w:val="false"/>
        <w:jc w:val="both"/>
        <w:rPr>
          <w:color w:val="000000"/>
        </w:rPr>
      </w:pPr>
      <w:r>
        <w:rPr>
          <w:color w:val="000000"/>
        </w:rPr>
        <w:t>Worked with Robert on cash applications for Duke Energy, Seagull Marketing and Mobil Natural Gas. (Larry)</w:t>
      </w:r>
    </w:p>
    <w:p>
      <w:pPr>
        <w:pStyle w:val="Normal"/>
        <w:numPr>
          <w:ilvl w:val="0"/>
          <w:numId w:val="2"/>
        </w:numPr>
        <w:autoSpaceDE w:val="false"/>
        <w:jc w:val="both"/>
        <w:rPr>
          <w:color w:val="000000"/>
        </w:rPr>
      </w:pPr>
      <w:r>
        <w:rPr>
          <w:color w:val="000000"/>
        </w:rPr>
        <w:t>Worked with Harry on cash applications for BP Energy. (Larry)</w:t>
      </w:r>
    </w:p>
    <w:p>
      <w:pPr>
        <w:pStyle w:val="Normal"/>
        <w:autoSpaceDE w:val="false"/>
        <w:ind w:end="360"/>
        <w:rPr>
          <w:rFonts w:ascii="Arial" w:hAnsi="Arial" w:cs="Arial"/>
          <w:color w:val="000000"/>
        </w:rPr>
      </w:pPr>
      <w:r>
        <w:rPr>
          <w:rFonts w:cs="Arial" w:ascii="Arial" w:hAnsi="Arial"/>
          <w:color w:val="000000"/>
        </w:rPr>
      </w:r>
    </w:p>
    <w:sectPr>
      <w:headerReference w:type="default" r:id="rId7"/>
      <w:headerReference w:type="first" r:id="rId8"/>
      <w:type w:val="nextPage"/>
      <w:pgSz w:w="12240" w:h="15840"/>
      <w:pgMar w:left="720" w:right="720"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r>
  </w:p>
  <w:p>
    <w:pPr>
      <w:pStyle w:val="Head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0</w:t>
    </w:r>
    <w:r>
      <w:rPr>
        <w:sz w:val="16"/>
      </w:rPr>
      <w:fldChar w:fldCharType="end"/>
    </w:r>
  </w:p>
  <w:p>
    <w:pPr>
      <w:pStyle w:val="Header"/>
      <w:rPr>
        <w:sz w:val="16"/>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Heade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5" name="Frame4"/>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rPr>
  </w:style>
  <w:style w:type="paragraph" w:styleId="Heading4">
    <w:name w:val="heading 4"/>
    <w:basedOn w:val="Normal"/>
    <w:next w:val="Normal"/>
    <w:qFormat/>
    <w:pPr>
      <w:keepNext w:val="true"/>
      <w:numPr>
        <w:ilvl w:val="3"/>
        <w:numId w:val="1"/>
      </w:numPr>
      <w:jc w:val="both"/>
      <w:outlineLvl w:val="3"/>
    </w:pPr>
    <w:rPr>
      <w:b/>
      <w:i/>
      <w:sz w:val="28"/>
      <w:u w:val="single"/>
    </w:rPr>
  </w:style>
  <w:style w:type="paragraph" w:styleId="Heading5">
    <w:name w:val="heading 5"/>
    <w:basedOn w:val="Normal"/>
    <w:next w:val="Normal"/>
    <w:qFormat/>
    <w:pPr>
      <w:keepNext w:val="true"/>
      <w:numPr>
        <w:ilvl w:val="4"/>
        <w:numId w:val="1"/>
      </w:numPr>
      <w:outlineLvl w:val="4"/>
    </w:pPr>
    <w:rPr>
      <w:b/>
      <w:i/>
    </w:rPr>
  </w:style>
  <w:style w:type="paragraph" w:styleId="Heading6">
    <w:name w:val="heading 6"/>
    <w:basedOn w:val="Normal"/>
    <w:next w:val="Normal"/>
    <w:qFormat/>
    <w:pPr>
      <w:keepNext w:val="true"/>
      <w:numPr>
        <w:ilvl w:val="5"/>
        <w:numId w:val="1"/>
      </w:numPr>
      <w:outlineLvl w:val="5"/>
    </w:pPr>
    <w:rPr>
      <w:b/>
      <w:i/>
      <w:color w:val="000000"/>
      <w:sz w:val="28"/>
      <w:u w:val="single"/>
    </w:rPr>
  </w:style>
  <w:style w:type="paragraph" w:styleId="Heading7">
    <w:name w:val="heading 7"/>
    <w:basedOn w:val="Normal"/>
    <w:next w:val="Normal"/>
    <w:qFormat/>
    <w:pPr>
      <w:keepNext w:val="true"/>
      <w:numPr>
        <w:ilvl w:val="6"/>
        <w:numId w:val="1"/>
      </w:numPr>
      <w:jc w:val="both"/>
      <w:outlineLvl w:val="6"/>
    </w:pPr>
    <w:rPr>
      <w:b/>
      <w:color w:val="000000"/>
    </w:rPr>
  </w:style>
  <w:style w:type="paragraph" w:styleId="Heading8">
    <w:name w:val="heading 8"/>
    <w:basedOn w:val="Normal"/>
    <w:next w:val="Normal"/>
    <w:qFormat/>
    <w:pPr>
      <w:keepNext w:val="true"/>
      <w:numPr>
        <w:ilvl w:val="7"/>
        <w:numId w:val="1"/>
      </w:numPr>
      <w:outlineLvl w:val="7"/>
    </w:pPr>
    <w:rPr>
      <w:b/>
      <w:color w:val="000000"/>
      <w:sz w:val="20"/>
    </w:rPr>
  </w:style>
  <w:style w:type="paragraph" w:styleId="Heading9">
    <w:name w:val="heading 9"/>
    <w:basedOn w:val="Normal"/>
    <w:next w:val="Normal"/>
    <w:qFormat/>
    <w:pPr>
      <w:keepNext w:val="true"/>
      <w:numPr>
        <w:ilvl w:val="8"/>
        <w:numId w:val="1"/>
      </w:numPr>
      <w:jc w:val="both"/>
      <w:outlineLvl w:val="8"/>
    </w:pPr>
    <w:rPr>
      <w:b/>
      <w:color w:val="000000"/>
      <w:sz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Arial" w:hAnsi="Arial" w:cs="Arial"/>
    </w:rPr>
  </w:style>
  <w:style w:type="character" w:styleId="WW8Num7z0">
    <w:name w:val="WW8Num7z0"/>
    <w:qFormat/>
    <w:rPr>
      <w:rFonts w:ascii="Arial" w:hAnsi="Arial" w:cs="Arial"/>
    </w:rPr>
  </w:style>
  <w:style w:type="character" w:styleId="WW8Num8z0">
    <w:name w:val="WW8Num8z0"/>
    <w:qFormat/>
    <w:rPr>
      <w:rFonts w:ascii="Arial" w:hAnsi="Arial" w:cs="Aria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Times New Roman" w:hAnsi="Times New Roman" w:cs="Times New Roman"/>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Arial" w:hAnsi="Arial" w:cs="Aria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Arial" w:hAnsi="Arial" w:cs="Aria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sz w:val="16"/>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Arial" w:hAnsi="Arial" w:cs="Aria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sz w:val="16"/>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Arial" w:hAnsi="Arial" w:cs="Arial"/>
    </w:rPr>
  </w:style>
  <w:style w:type="character" w:styleId="WW8Num60z0">
    <w:name w:val="WW8Num60z0"/>
    <w:qFormat/>
    <w:rPr>
      <w:rFonts w:ascii="Wingdings" w:hAnsi="Wingdings" w:cs="Wingdings"/>
      <w:sz w:val="16"/>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Times New Roman" w:hAnsi="Times New Roman" w:cs="Times New Roman"/>
    </w:rPr>
  </w:style>
  <w:style w:type="character" w:styleId="WW8Num67z0">
    <w:name w:val="WW8Num67z0"/>
    <w:qFormat/>
    <w:rPr>
      <w:rFonts w:ascii="Times New Roman" w:hAnsi="Times New Roman" w:cs="Times New Roman"/>
    </w:rPr>
  </w:style>
  <w:style w:type="character" w:styleId="WW8Num68z0">
    <w:name w:val="WW8Num68z0"/>
    <w:qFormat/>
    <w:rPr>
      <w:rFonts w:ascii="Symbol" w:hAnsi="Symbol" w:cs="Symbol"/>
    </w:rPr>
  </w:style>
  <w:style w:type="character" w:styleId="WW8Num69z0">
    <w:name w:val="WW8Num69z0"/>
    <w:qFormat/>
    <w:rPr>
      <w:rFonts w:ascii="Arial" w:hAnsi="Arial" w:cs="Aria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Times New Roman" w:hAnsi="Times New Roman" w:cs="Times New Roman"/>
    </w:rPr>
  </w:style>
  <w:style w:type="character" w:styleId="WW8Num74z0">
    <w:name w:val="WW8Num74z0"/>
    <w:qFormat/>
    <w:rPr>
      <w:rFonts w:ascii="Symbol" w:hAnsi="Symbol" w:cs="Symbol"/>
    </w:rPr>
  </w:style>
  <w:style w:type="character" w:styleId="WW8Num75z0">
    <w:name w:val="WW8Num75z0"/>
    <w:qFormat/>
    <w:rPr>
      <w:rFonts w:ascii="Times New Roman" w:hAnsi="Times New Roman" w:cs="Times New Roman"/>
    </w:rPr>
  </w:style>
  <w:style w:type="character" w:styleId="WW8Num76z0">
    <w:name w:val="WW8Num76z0"/>
    <w:qFormat/>
    <w:rPr>
      <w:rFonts w:ascii="Times New Roman" w:hAnsi="Times New Roman" w:cs="Times New Roman"/>
    </w:rPr>
  </w:style>
  <w:style w:type="character" w:styleId="WW8Num77z0">
    <w:name w:val="WW8Num77z0"/>
    <w:qFormat/>
    <w:rPr>
      <w:rFonts w:ascii="Symbol" w:hAnsi="Symbol" w:cs="Symbol"/>
    </w:rPr>
  </w:style>
  <w:style w:type="character" w:styleId="WW8Num78z0">
    <w:name w:val="WW8Num78z0"/>
    <w:qFormat/>
    <w:rPr>
      <w:rFonts w:ascii="Wingdings" w:hAnsi="Wingdings" w:cs="Wingdings"/>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Wingdings" w:hAnsi="Wingdings" w:cs="Wingdings"/>
      <w:sz w:val="16"/>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Wingdings" w:hAnsi="Wingdings" w:cs="Wingdings"/>
    </w:rPr>
  </w:style>
  <w:style w:type="character" w:styleId="WW8Num109z0">
    <w:name w:val="WW8Num109z0"/>
    <w:qFormat/>
    <w:rPr>
      <w:rFonts w:ascii="Monotype Sorts" w:hAnsi="Monotype Sorts" w:cs="Monotype Sorts"/>
    </w:rPr>
  </w:style>
  <w:style w:type="character" w:styleId="WW8Num110z0">
    <w:name w:val="WW8Num110z0"/>
    <w:qFormat/>
    <w:rPr>
      <w:rFonts w:ascii="Arial" w:hAnsi="Arial" w:cs="Arial"/>
    </w:rPr>
  </w:style>
  <w:style w:type="character" w:styleId="WW8Num111z0">
    <w:name w:val="WW8Num111z0"/>
    <w:qFormat/>
    <w:rPr>
      <w:rFonts w:ascii="Arial" w:hAnsi="Arial" w:cs="Aria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Times New Roman" w:hAnsi="Times New Roman" w:cs="Times New Roman"/>
    </w:rPr>
  </w:style>
  <w:style w:type="character" w:styleId="WW8Num120z0">
    <w:name w:val="WW8Num120z0"/>
    <w:qFormat/>
    <w:rPr>
      <w:rFonts w:ascii="Symbol" w:hAnsi="Symbol" w:cs="Symbol"/>
    </w:rPr>
  </w:style>
  <w:style w:type="character" w:styleId="WW8Num121z0">
    <w:name w:val="WW8Num121z0"/>
    <w:qFormat/>
    <w:rPr>
      <w:rFonts w:ascii="Times New Roman" w:hAnsi="Times New Roman" w:cs="Times New Roman"/>
    </w:rPr>
  </w:style>
  <w:style w:type="character" w:styleId="WW8Num122z0">
    <w:name w:val="WW8Num122z0"/>
    <w:qFormat/>
    <w:rPr>
      <w:rFonts w:ascii="Wingdings" w:hAnsi="Wingdings" w:cs="Wingdings"/>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Arial" w:hAnsi="Arial" w:cs="Arial"/>
    </w:rPr>
  </w:style>
  <w:style w:type="character" w:styleId="WW8Num125z0">
    <w:name w:val="WW8Num125z0"/>
    <w:qFormat/>
    <w:rPr>
      <w:rFonts w:ascii="Wingdings" w:hAnsi="Wingdings" w:cs="Wingdings"/>
    </w:rPr>
  </w:style>
  <w:style w:type="character" w:styleId="WW8Num125z1">
    <w:name w:val="WW8Num125z1"/>
    <w:qFormat/>
    <w:rPr>
      <w:rFonts w:ascii="Courier New" w:hAnsi="Courier New" w:cs="Courier New"/>
    </w:rPr>
  </w:style>
  <w:style w:type="character" w:styleId="WW8Num125z3">
    <w:name w:val="WW8Num125z3"/>
    <w:qFormat/>
    <w:rPr>
      <w:rFonts w:ascii="Symbol" w:hAnsi="Symbol" w:cs="Symbol"/>
    </w:rPr>
  </w:style>
  <w:style w:type="character" w:styleId="WW8Num126z0">
    <w:name w:val="WW8Num126z0"/>
    <w:qFormat/>
    <w:rPr>
      <w:rFonts w:ascii="Times New Roman" w:hAnsi="Times New Roman" w:cs="Times New Roman"/>
    </w:rPr>
  </w:style>
  <w:style w:type="character" w:styleId="WW8Num127z0">
    <w:name w:val="WW8Num127z0"/>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Wingdings" w:hAnsi="Wingdings" w:cs="Wingdings"/>
    </w:rPr>
  </w:style>
  <w:style w:type="character" w:styleId="WW8Num131z0">
    <w:name w:val="WW8Num131z0"/>
    <w:qFormat/>
    <w:rPr>
      <w:rFonts w:ascii="Wingdings" w:hAnsi="Wingdings" w:cs="Wingdings"/>
    </w:rPr>
  </w:style>
  <w:style w:type="character" w:styleId="WW8Num131z1">
    <w:name w:val="WW8Num131z1"/>
    <w:qFormat/>
    <w:rPr>
      <w:rFonts w:ascii="Courier New" w:hAnsi="Courier New" w:cs="Courier New"/>
    </w:rPr>
  </w:style>
  <w:style w:type="character" w:styleId="WW8Num131z3">
    <w:name w:val="WW8Num131z3"/>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Arial" w:hAnsi="Arial" w:cs="Arial"/>
    </w:rPr>
  </w:style>
  <w:style w:type="character" w:styleId="WW8Num134z0">
    <w:name w:val="WW8Num134z0"/>
    <w:qFormat/>
    <w:rPr>
      <w:rFonts w:ascii="Wingdings" w:hAnsi="Wingdings" w:cs="Wingdings"/>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Times New Roman" w:hAnsi="Times New Roman" w:cs="Times New Roman"/>
    </w:rPr>
  </w:style>
  <w:style w:type="character" w:styleId="WW8Num138z0">
    <w:name w:val="WW8Num138z0"/>
    <w:qFormat/>
    <w:rPr>
      <w:rFonts w:ascii="Symbol" w:hAnsi="Symbol" w:cs="Symbol"/>
    </w:rPr>
  </w:style>
  <w:style w:type="character" w:styleId="WW8Num139z0">
    <w:name w:val="WW8Num139z0"/>
    <w:qFormat/>
    <w:rPr>
      <w:rFonts w:ascii="Times New Roman" w:hAnsi="Times New Roman" w:cs="Times New Roman"/>
    </w:rPr>
  </w:style>
  <w:style w:type="character" w:styleId="WW8Num140z0">
    <w:name w:val="WW8Num140z0"/>
    <w:qFormat/>
    <w:rPr>
      <w:rFonts w:ascii="Times New Roman" w:hAnsi="Times New Roman" w:cs="Times New Roman"/>
    </w:rPr>
  </w:style>
  <w:style w:type="character" w:styleId="WW8Num141z0">
    <w:name w:val="WW8Num141z0"/>
    <w:qFormat/>
    <w:rPr>
      <w:rFonts w:ascii="Symbol" w:hAnsi="Symbol" w:cs="Symbol"/>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6z1">
    <w:name w:val="WW8Num146z1"/>
    <w:qFormat/>
    <w:rPr>
      <w:rFonts w:ascii="Courier New" w:hAnsi="Courier New" w:cs="Courier New"/>
    </w:rPr>
  </w:style>
  <w:style w:type="character" w:styleId="WW8Num146z3">
    <w:name w:val="WW8Num146z3"/>
    <w:qFormat/>
    <w:rPr>
      <w:rFonts w:ascii="Symbol" w:hAnsi="Symbol" w:cs="Symbol"/>
    </w:rPr>
  </w:style>
  <w:style w:type="character" w:styleId="WW8Num147z0">
    <w:name w:val="WW8Num147z0"/>
    <w:qFormat/>
    <w:rPr>
      <w:rFonts w:ascii="Arial" w:hAnsi="Arial" w:cs="Arial"/>
    </w:rPr>
  </w:style>
  <w:style w:type="character" w:styleId="WW8Num148z0">
    <w:name w:val="WW8Num148z0"/>
    <w:qFormat/>
    <w:rPr>
      <w:rFonts w:ascii="Symbol" w:hAnsi="Symbol" w:cs="Symbol"/>
    </w:rPr>
  </w:style>
  <w:style w:type="character" w:styleId="WW8Num149z0">
    <w:name w:val="WW8Num149z0"/>
    <w:qFormat/>
    <w:rPr>
      <w:rFonts w:ascii="Arial" w:hAnsi="Arial" w:cs="Arial"/>
    </w:rPr>
  </w:style>
  <w:style w:type="character" w:styleId="WW8Num150z0">
    <w:name w:val="WW8Num150z0"/>
    <w:qFormat/>
    <w:rPr>
      <w:rFonts w:ascii="Symbol" w:hAnsi="Symbol" w:cs="Symbol"/>
    </w:rPr>
  </w:style>
  <w:style w:type="character" w:styleId="WW8Num151z0">
    <w:name w:val="WW8Num151z0"/>
    <w:qFormat/>
    <w:rPr>
      <w:rFonts w:ascii="Wingdings" w:hAnsi="Wingdings" w:cs="Wingdings"/>
    </w:rPr>
  </w:style>
  <w:style w:type="character" w:styleId="WW8Num152z0">
    <w:name w:val="WW8Num152z0"/>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Times New Roman" w:hAnsi="Times New Roman" w:cs="Times New Roman"/>
    </w:rPr>
  </w:style>
  <w:style w:type="character" w:styleId="WW8Num155z0">
    <w:name w:val="WW8Num155z0"/>
    <w:qFormat/>
    <w:rPr>
      <w:rFonts w:ascii="Wingdings" w:hAnsi="Wingdings" w:cs="Wingdings"/>
      <w:sz w:val="16"/>
    </w:rPr>
  </w:style>
  <w:style w:type="character" w:styleId="WW8Num156z0">
    <w:name w:val="WW8Num156z0"/>
    <w:qFormat/>
    <w:rPr>
      <w:rFonts w:ascii="Symbol" w:hAnsi="Symbol" w:cs="Symbol"/>
    </w:rPr>
  </w:style>
  <w:style w:type="character" w:styleId="WW8Num157z0">
    <w:name w:val="WW8Num157z0"/>
    <w:qFormat/>
    <w:rPr>
      <w:rFonts w:ascii="Wingdings" w:hAnsi="Wingdings" w:cs="Wingdings"/>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Wingdings" w:hAnsi="Wingdings" w:cs="Wingdings"/>
    </w:rPr>
  </w:style>
  <w:style w:type="character" w:styleId="WW8Num159z1">
    <w:name w:val="WW8Num159z1"/>
    <w:qFormat/>
    <w:rPr>
      <w:rFonts w:ascii="Courier New" w:hAnsi="Courier New" w:cs="Courier New"/>
    </w:rPr>
  </w:style>
  <w:style w:type="character" w:styleId="WW8Num159z3">
    <w:name w:val="WW8Num159z3"/>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Times New Roman" w:hAnsi="Times New Roman" w:cs="Times New Roman"/>
    </w:rPr>
  </w:style>
  <w:style w:type="character" w:styleId="WW8NumSt162z0">
    <w:name w:val="WW8NumSt16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rPr>
      <w:sz w:val="20"/>
    </w:rPr>
  </w:style>
  <w:style w:type="paragraph" w:styleId="From">
    <w:name w:val="From"/>
    <w:basedOn w:val="Normal"/>
    <w:qFormat/>
    <w:pPr/>
    <w:rPr>
      <w:sz w:val="20"/>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z w:val="20"/>
    </w:rPr>
  </w:style>
  <w:style w:type="paragraph" w:styleId="BodyText2">
    <w:name w:val="Body Text 2"/>
    <w:basedOn w:val="Normal"/>
    <w:qFormat/>
    <w:pPr/>
    <w:rPr>
      <w:sz w:val="24"/>
    </w:rPr>
  </w:style>
  <w:style w:type="paragraph" w:styleId="BodyText3">
    <w:name w:val="Body Text 3"/>
    <w:basedOn w:val="Normal"/>
    <w:qFormat/>
    <w:pPr/>
    <w:rPr>
      <w:color w:val="000000"/>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2001-11-21T17:39:00Z</dcterms:created>
  <dc:creator>Alma L. Carrillo</dc:creator>
  <dc:description/>
  <dc:language>en-CA</dc:language>
  <cp:lastModifiedBy>acarril</cp:lastModifiedBy>
  <cp:lastPrinted>2001-09-06T17:09:00Z</cp:lastPrinted>
  <dcterms:modified xsi:type="dcterms:W3CDTF">2001-11-21T17:39:00Z</dcterms:modified>
  <cp:revision>4</cp:revision>
  <dc:subject/>
  <dc:title> </dc:title>
</cp:coreProperties>
</file>