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This Consulting Services Agreement (“</w:t>
      </w:r>
      <w:r>
        <w:rPr>
          <w:rFonts w:cs="Times New Roman" w:ascii="Times New Roman" w:hAnsi="Times New Roman"/>
          <w:spacing w:val="-3"/>
          <w:sz w:val="24"/>
          <w:u w:val="single"/>
        </w:rPr>
        <w:t>Agreement</w:t>
      </w:r>
      <w:r>
        <w:rPr>
          <w:rFonts w:cs="Times New Roman" w:ascii="Times New Roman" w:hAnsi="Times New Roman"/>
          <w:spacing w:val="-3"/>
          <w:sz w:val="24"/>
        </w:rPr>
        <w:t>”) is entered into as of May ____, 2000 (the "</w:t>
      </w:r>
      <w:r>
        <w:rPr>
          <w:rFonts w:cs="Times New Roman" w:ascii="Times New Roman" w:hAnsi="Times New Roman"/>
          <w:spacing w:val="-3"/>
          <w:sz w:val="24"/>
          <w:u w:val="single"/>
        </w:rPr>
        <w:t>Effective Date</w:t>
      </w:r>
      <w:r>
        <w:rPr>
          <w:rFonts w:cs="Times New Roman" w:ascii="Times New Roman" w:hAnsi="Times New Roman"/>
          <w:spacing w:val="-3"/>
          <w:sz w:val="24"/>
        </w:rPr>
        <w:t>") between</w:t>
      </w:r>
      <w:r>
        <w:rPr>
          <w:rFonts w:cs="Times New Roman" w:ascii="Times New Roman" w:hAnsi="Times New Roman"/>
          <w:sz w:val="24"/>
        </w:rPr>
        <w:t>, Enron North America Corp.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having offices at 1200 17th Street, Suite 2750 Denver, Colorado 80202 (“</w:t>
      </w:r>
      <w:r>
        <w:rPr>
          <w:rFonts w:cs="Times New Roman" w:ascii="Times New Roman" w:hAnsi="Times New Roman"/>
          <w:spacing w:val="-3"/>
          <w:sz w:val="24"/>
          <w:u w:val="single"/>
        </w:rPr>
        <w:t>Company</w:t>
      </w:r>
      <w:r>
        <w:rPr>
          <w:rFonts w:cs="Times New Roman" w:ascii="Times New Roman" w:hAnsi="Times New Roman"/>
          <w:spacing w:val="-3"/>
          <w:sz w:val="24"/>
        </w:rPr>
        <w:t>”), and Ted Huss whose mail addess is P.O. Box 1136, Casper, Wyoming 82602 (“</w:t>
      </w:r>
      <w:r>
        <w:rPr>
          <w:rFonts w:cs="Times New Roman" w:ascii="Times New Roman" w:hAnsi="Times New Roman"/>
          <w:spacing w:val="-3"/>
          <w:sz w:val="24"/>
          <w:u w:val="single"/>
        </w:rPr>
        <w:t>Consultant</w:t>
      </w:r>
      <w:r>
        <w:rPr>
          <w:rFonts w:cs="Times New Roman" w:ascii="Times New Roman" w:hAnsi="Times New Roman"/>
          <w:spacing w:val="-3"/>
          <w:sz w:val="24"/>
        </w:rPr>
        <w: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This Agreement will commence on the Effective Date, and shall continue until terminated under the provisions of </w:t>
      </w:r>
      <w:r>
        <w:rPr>
          <w:rFonts w:cs="Times New Roman" w:ascii="Times New Roman" w:hAnsi="Times New Roman"/>
          <w:spacing w:val="-3"/>
          <w:sz w:val="24"/>
          <w:u w:val="single"/>
        </w:rPr>
        <w:t>Section 15</w:t>
      </w:r>
      <w:r>
        <w:rPr>
          <w:rFonts w:cs="Times New Roman" w:ascii="Times New Roman" w:hAnsi="Times New Roman"/>
          <w:spacing w:val="-3"/>
          <w:sz w:val="24"/>
        </w:rPr>
        <w:t xml:space="preserve"> below. </w:t>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engages Consultant to perform Services on matters relating to procurement of right of way, management of procurement of right of way, and other related services associated with the construction and operation of natural gas gathering pipeline and compression facilities (the “</w:t>
      </w:r>
      <w:r>
        <w:rPr>
          <w:rFonts w:cs="Times New Roman" w:ascii="Times New Roman" w:hAnsi="Times New Roman"/>
          <w:spacing w:val="-3"/>
          <w:sz w:val="24"/>
          <w:u w:val="single"/>
        </w:rPr>
        <w:t>Services</w:t>
      </w:r>
      <w:r>
        <w:rPr>
          <w:rFonts w:cs="Times New Roman" w:ascii="Times New Roman" w:hAnsi="Times New Roman"/>
          <w:spacing w:val="-3"/>
          <w:sz w:val="24"/>
        </w:rPr>
        <w:t xml:space="preserve">”).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b.</w:t>
        <w:tab/>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 xml:space="preserve">During the term of this Agreement, the Company shall pay Consultant as follows:  </w:t>
      </w:r>
      <w:r>
        <w:rPr>
          <w:u w:val="single"/>
        </w:rPr>
        <w:t>$275 per day for all days on which Contractor performs the Services</w:t>
      </w:r>
      <w:r>
        <w:rPr/>
        <w:t>.</w:t>
      </w:r>
    </w:p>
    <w:p>
      <w:pPr>
        <w:pStyle w:val="BodyTextIndent"/>
        <w:ind w:hanging="0" w:end="0"/>
        <w:rPr/>
      </w:pPr>
      <w:r>
        <w:rPr/>
      </w:r>
    </w:p>
    <w:p>
      <w:pPr>
        <w:pStyle w:val="BodyTextIndent"/>
        <w:ind w:hanging="0" w:start="0" w:end="0"/>
        <w:rPr/>
      </w:pPr>
      <w:r>
        <w:rPr/>
        <w:tab/>
        <w:t>b.</w:t>
        <w:tab/>
        <w:t>Company will reimburse Consultant for all reasonable out-of-pocket expenses actually incurred by Consultant in performance of the Services.  Consultant shall submit to the Company a monthly statement setting forth such reasonable out-of-pocket expenses incurred in the performance of the Services (with records, receipts, or other supporting evidence as may be requested by Company).  Examples of acceptable forms of monthly statements may be provided at Consultant’s request.</w:t>
      </w:r>
    </w:p>
    <w:p>
      <w:pPr>
        <w:pStyle w:val="BodyTextIndent"/>
        <w:tabs>
          <w:tab w:val="clear" w:pos="1440"/>
          <w:tab w:val="left" w:pos="-720" w:leader="none"/>
          <w:tab w:val="left" w:pos="720" w:leader="none"/>
          <w:tab w:val="left" w:pos="2160" w:leader="none"/>
        </w:tabs>
        <w:ind w:hanging="0" w:start="0" w:end="0"/>
        <w:rPr/>
      </w:pPr>
      <w:r>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at all times during the course of this Agreement, such insurance coverage as prescribed in Exhibit A hereto.</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three (3)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Company shall not use the name of Consultant or of any of its employees in any advertising, publicity, or selling material without prior written approval of Consultant.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t>Ted Huss</w:t>
        <w:tab/>
        <w:tab/>
        <w:tab/>
        <w:tab/>
        <w:tab/>
        <w:t>Enron North America Corp.</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2880"/>
          <w:tab w:val="left" w:pos="0" w:leader="none"/>
          <w:tab w:val="left" w:pos="450" w:leader="none"/>
          <w:tab w:val="left" w:pos="1440" w:leader="none"/>
          <w:tab w:val="left" w:pos="2160" w:leader="none"/>
          <w:tab w:val="left" w:pos="3960" w:leader="none"/>
          <w:tab w:val="left" w:pos="5040" w:leader="none"/>
        </w:tabs>
        <w:ind w:hanging="0" w:start="0"/>
        <w:rPr/>
      </w:pPr>
      <w:r>
        <w:rPr/>
        <w:t xml:space="preserve">Name:  </w:t>
      </w:r>
      <w:r>
        <w:rPr>
          <w:u w:val="single"/>
        </w:rPr>
        <w:tab/>
        <w:tab/>
        <w:tab/>
      </w:r>
      <w:r>
        <w:rPr/>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960" w:leader="none"/>
          <w:tab w:val="left" w:pos="4320" w:leader="none"/>
          <w:tab w:val="left" w:pos="504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 xml:space="preserve">Title:  </w:t>
      </w:r>
      <w:r>
        <w:rPr>
          <w:rFonts w:cs="Times New Roman" w:ascii="Times New Roman" w:hAnsi="Times New Roman"/>
          <w:spacing w:val="-3"/>
          <w:sz w:val="24"/>
          <w:u w:val="single"/>
        </w:rPr>
        <w:tab/>
        <w:tab/>
        <w:tab/>
        <w:tab/>
        <w:tab/>
      </w:r>
      <w:r>
        <w:rPr>
          <w:rFonts w:cs="Times New Roman" w:ascii="Times New Roman" w:hAnsi="Times New Roman"/>
          <w:spacing w:val="-3"/>
          <w:sz w:val="24"/>
        </w:rPr>
        <w:tab/>
        <w:tab/>
        <w:t xml:space="preserve">Title:  </w:t>
      </w:r>
      <w:r>
        <w:rPr>
          <w:rFonts w:cs="Times New Roman" w:ascii="Times New Roman" w:hAnsi="Times New Roman"/>
          <w:spacing w:val="-3"/>
          <w:sz w:val="24"/>
          <w:u w:val="single"/>
        </w:rPr>
        <w:tab/>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040" w:leader="none"/>
          <w:tab w:val="left" w:pos="7200" w:leader="none"/>
          <w:tab w:val="left" w:pos="7800" w:leader="none"/>
          <w:tab w:val="left" w:pos="8400" w:leader="none"/>
        </w:tabs>
        <w:rPr/>
      </w:pPr>
      <w:r>
        <w:rPr/>
        <w:tab/>
        <w:tab/>
        <w:tab/>
        <w:tab/>
        <w:tab/>
        <w:tab/>
        <w:tab/>
        <w:tab/>
        <w:tab/>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b/>
          <w:sz w:val="24"/>
        </w:rPr>
      </w:pPr>
      <w:r>
        <w:rPr>
          <w:b/>
          <w:sz w:val="24"/>
        </w:rPr>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t>Exhibit A</w:t>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t>INSURANCE</w:t>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right" w:pos="490" w:leader="none"/>
        </w:tabs>
        <w:spacing w:lineRule="exact" w:line="286"/>
        <w:ind w:end="50"/>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569" w:leader="none"/>
        </w:tabs>
        <w:spacing w:lineRule="exact" w:line="286"/>
        <w:ind w:hanging="720" w:start="720" w:end="50"/>
        <w:jc w:val="both"/>
        <w:rPr/>
      </w:pPr>
      <w:r>
        <w:rPr>
          <w:rFonts w:cs="Times New Roman" w:ascii="Times New Roman" w:hAnsi="Times New Roman"/>
          <w:sz w:val="24"/>
        </w:rPr>
        <w:tab/>
      </w:r>
      <w:r>
        <w:rPr>
          <w:rFonts w:cs="Times New Roman" w:ascii="Times New Roman" w:hAnsi="Times New Roman"/>
          <w:sz w:val="24"/>
          <w:u w:val="single"/>
        </w:rPr>
        <w:t>Insurance of the Consultant</w:t>
      </w:r>
      <w:r>
        <w:rPr>
          <w:rFonts w:cs="Times New Roman" w:ascii="Times New Roman" w:hAnsi="Times New Roman"/>
          <w:sz w:val="24"/>
        </w:rPr>
        <w:t>.</w:t>
      </w:r>
    </w:p>
    <w:p>
      <w:pPr>
        <w:pStyle w:val="Normal"/>
        <w:tabs>
          <w:tab w:val="clear" w:pos="720"/>
          <w:tab w:val="right" w:pos="4569" w:leader="none"/>
        </w:tabs>
        <w:spacing w:lineRule="exact" w:line="286"/>
        <w:ind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(a)</w:t>
        <w:tab/>
      </w:r>
      <w:r>
        <w:rPr>
          <w:rFonts w:cs="Times New Roman" w:ascii="Times New Roman" w:hAnsi="Times New Roman"/>
          <w:sz w:val="24"/>
          <w:u w:val="single"/>
        </w:rPr>
        <w:t>Workers' Compensation Insurance</w:t>
      </w:r>
      <w:r>
        <w:rPr>
          <w:rFonts w:cs="Times New Roman" w:ascii="Times New Roman" w:hAnsi="Times New Roman"/>
          <w:sz w:val="24"/>
        </w:rPr>
        <w:t>. As required by the applicable Government Rules of the jurisdictions where work is performed, including, without limitation, employer's liability insurance for all employees of the Consultant in the minimum amount of $1,000,000 per occurrence and the respective policies shall include an all states’ endorsement, longshoremen's and harbor workers' compensation act insurance and if watercraft are used, maritime employer's liability insurance in the minimum amount of $1,000,000. Such limits can be provided as a combination of primary and excess policies.</w:t>
      </w:r>
    </w:p>
    <w:p>
      <w:pPr>
        <w:pStyle w:val="Normal"/>
        <w:tabs>
          <w:tab w:val="clear" w:pos="720"/>
          <w:tab w:val="left" w:pos="595" w:leader="none"/>
          <w:tab w:val="right" w:pos="7817" w:leader="none"/>
        </w:tabs>
        <w:spacing w:lineRule="exact" w:line="240"/>
        <w:ind w:firstLine="144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(b)</w:t>
        <w:tab/>
      </w:r>
      <w:r>
        <w:rPr>
          <w:rFonts w:cs="Times New Roman" w:ascii="Times New Roman" w:hAnsi="Times New Roman"/>
          <w:sz w:val="24"/>
          <w:u w:val="single"/>
        </w:rPr>
        <w:t>Commercial General Liability Insurance</w:t>
      </w:r>
      <w:r>
        <w:rPr>
          <w:rFonts w:cs="Times New Roman" w:ascii="Times New Roman" w:hAnsi="Times New Roman"/>
          <w:sz w:val="24"/>
        </w:rPr>
        <w:t>. Commercial general liability insurance against claims for bodily injury and/or death of and property damage to third parties. Such insurance shall provide coverage for products</w:t>
        <w:noBreakHyphen/>
        <w:t>completed operations, blanket contractual, explosion, collapse and underground coverage, sudden and accidental pollution coverage (to the extent available on commercially reasonable terms), broad form property damage and personal injury insurance with a $1,000,000 minimum combined single limit per occurrence for bodily injury and property damage and a $1,000,000 aggregate annual limit. Such limits can be provided as a combination of primary and excess policies.</w:t>
      </w:r>
    </w:p>
    <w:p>
      <w:pPr>
        <w:pStyle w:val="Normal"/>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 xml:space="preserve"> </w:t>
      </w:r>
      <w:r>
        <w:rPr>
          <w:rFonts w:cs="Times New Roman" w:ascii="Times New Roman" w:hAnsi="Times New Roman"/>
          <w:sz w:val="24"/>
        </w:rPr>
        <w:t>(c)</w:t>
        <w:tab/>
      </w:r>
      <w:r>
        <w:rPr>
          <w:rFonts w:cs="Times New Roman" w:ascii="Times New Roman" w:hAnsi="Times New Roman"/>
          <w:sz w:val="24"/>
          <w:u w:val="single"/>
        </w:rPr>
        <w:t>Comprehensive Automobile Liability Insurance</w:t>
      </w:r>
      <w:r>
        <w:rPr>
          <w:rFonts w:cs="Times New Roman" w:ascii="Times New Roman" w:hAnsi="Times New Roman"/>
          <w:sz w:val="24"/>
        </w:rPr>
        <w:t>. Comprehensive automobile liability insurance against claims of bodily injury, death and property damage to third parties covering all owned, leased, non</w:t>
        <w:noBreakHyphen/>
        <w:t>owned and hired vehicles used in the performance of the Consultant’s obligations under the this Agreement, with a $1,000,000 minimum combined single limit per occurrence for bodily injury and property damage. Such limits can be provided as a combination of primary and excess policies.</w:t>
      </w:r>
    </w:p>
    <w:p>
      <w:pPr>
        <w:pStyle w:val="Normal"/>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86" w:leader="none"/>
          <w:tab w:val="right" w:pos="7748" w:leader="none"/>
        </w:tabs>
        <w:spacing w:lineRule="exact" w:line="240"/>
        <w:ind w:hanging="720" w:start="720" w:end="50"/>
        <w:jc w:val="both"/>
        <w:rPr>
          <w:rFonts w:ascii="Times New Roman" w:hAnsi="Times New Roman" w:cs="Times New Roman"/>
          <w:sz w:val="24"/>
        </w:rPr>
      </w:pPr>
      <w:r>
        <w:rPr>
          <w:rFonts w:cs="Times New Roman" w:ascii="Times New Roman" w:hAnsi="Times New Roman"/>
          <w:sz w:val="24"/>
        </w:rPr>
      </w:r>
    </w:p>
    <w:p>
      <w:pPr>
        <w:pStyle w:val="Normal"/>
        <w:spacing w:lineRule="exact" w:line="240"/>
        <w:ind w:hanging="720" w:start="720" w:end="50"/>
        <w:jc w:val="both"/>
        <w:rPr/>
      </w:pPr>
      <w:r>
        <w:rPr>
          <w:rFonts w:cs="Times New Roman" w:ascii="Times New Roman" w:hAnsi="Times New Roman"/>
          <w:sz w:val="24"/>
        </w:rPr>
        <w:t>(f)</w:t>
        <w:tab/>
      </w:r>
      <w:r>
        <w:rPr>
          <w:rFonts w:cs="Times New Roman" w:ascii="Times New Roman" w:hAnsi="Times New Roman"/>
          <w:sz w:val="24"/>
          <w:u w:val="single"/>
        </w:rPr>
        <w:t>Endorsements</w:t>
      </w:r>
      <w:r>
        <w:rPr>
          <w:rFonts w:cs="Times New Roman" w:ascii="Times New Roman" w:hAnsi="Times New Roman"/>
          <w:sz w:val="24"/>
        </w:rPr>
        <w:t>. All policies of insurance to be maintained by the Consultant shall provide for waivers of subrogation in favor of the Company, its officers and agents.  All policies of liability insurance shall:</w:t>
      </w:r>
    </w:p>
    <w:p>
      <w:pPr>
        <w:pStyle w:val="Normal"/>
        <w:tabs>
          <w:tab w:val="clear" w:pos="720"/>
          <w:tab w:val="left" w:pos="486" w:leader="none"/>
          <w:tab w:val="right" w:pos="7738" w:leader="none"/>
        </w:tabs>
        <w:spacing w:lineRule="exact" w:line="240"/>
        <w:ind w:firstLine="1440" w:end="50"/>
        <w:jc w:val="both"/>
        <w:rPr>
          <w:rFonts w:ascii="Times New Roman" w:hAnsi="Times New Roman" w:cs="Times New Roman"/>
          <w:sz w:val="24"/>
        </w:rPr>
      </w:pPr>
      <w:r>
        <w:rPr>
          <w:rFonts w:cs="Times New Roman" w:ascii="Times New Roman" w:hAnsi="Times New Roman"/>
          <w:sz w:val="24"/>
        </w:rPr>
      </w:r>
    </w:p>
    <w:p>
      <w:pPr>
        <w:pStyle w:val="Normal"/>
        <w:spacing w:lineRule="exact" w:line="270"/>
        <w:ind w:hanging="720" w:start="1440" w:end="50"/>
        <w:jc w:val="both"/>
        <w:rPr>
          <w:rFonts w:ascii="Times New Roman" w:hAnsi="Times New Roman" w:cs="Times New Roman"/>
          <w:sz w:val="24"/>
        </w:rPr>
      </w:pPr>
      <w:r>
        <w:rPr>
          <w:rFonts w:cs="Times New Roman" w:ascii="Times New Roman" w:hAnsi="Times New Roman"/>
          <w:sz w:val="24"/>
        </w:rPr>
        <w:t>(i)</w:t>
        <w:tab/>
        <w:t>Provide a severability of interests and cross liability clause.</w:t>
      </w:r>
    </w:p>
    <w:p>
      <w:pPr>
        <w:pStyle w:val="Normal"/>
        <w:spacing w:lineRule="exact" w:line="270"/>
        <w:ind w:hanging="720" w:start="1440" w:end="5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0" w:leader="none"/>
        </w:tabs>
        <w:spacing w:lineRule="exact" w:line="240"/>
        <w:ind w:hanging="720" w:start="1440" w:end="50"/>
        <w:jc w:val="both"/>
        <w:rPr>
          <w:rFonts w:ascii="Times New Roman" w:hAnsi="Times New Roman" w:cs="Times New Roman"/>
          <w:sz w:val="24"/>
        </w:rPr>
      </w:pPr>
      <w:r>
        <w:rPr>
          <w:rFonts w:cs="Times New Roman" w:ascii="Times New Roman" w:hAnsi="Times New Roman"/>
          <w:sz w:val="24"/>
        </w:rPr>
        <w:t>(ii)</w:t>
        <w:tab/>
        <w:t>Provide that the insurance shall be primary and not excess to or contributing with any insurance or self</w:t>
        <w:noBreakHyphen/>
        <w:t>insurance maintained by the Company.,.</w:t>
      </w:r>
    </w:p>
    <w:p>
      <w:pPr>
        <w:pStyle w:val="Normal"/>
        <w:tabs>
          <w:tab w:val="clear" w:pos="720"/>
          <w:tab w:val="left" w:pos="50" w:leader="none"/>
        </w:tabs>
        <w:spacing w:lineRule="exact" w:line="240"/>
        <w:ind w:hanging="720" w:start="1440" w:end="50"/>
        <w:jc w:val="both"/>
        <w:rPr>
          <w:rFonts w:ascii="Times New Roman" w:hAnsi="Times New Roman" w:cs="Times New Roman"/>
          <w:sz w:val="24"/>
        </w:rPr>
      </w:pPr>
      <w:r>
        <w:rPr>
          <w:rFonts w:cs="Times New Roman" w:ascii="Times New Roman" w:hAnsi="Times New Roman"/>
          <w:sz w:val="24"/>
        </w:rPr>
      </w:r>
    </w:p>
    <w:p>
      <w:pPr>
        <w:pStyle w:val="BlockText"/>
        <w:rPr/>
      </w:pPr>
      <w:r>
        <w:rPr/>
        <w:t>(iii)</w:t>
        <w:tab/>
        <w:t>Except for worker's compensation, name the Company, and its officers and agents, as additional insureds.</w:t>
      </w:r>
    </w:p>
    <w:p>
      <w:pPr>
        <w:pStyle w:val="Normal"/>
        <w:spacing w:lineRule="exact" w:line="241"/>
        <w:ind w:hanging="720" w:start="1440" w:end="50"/>
        <w:jc w:val="both"/>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ConsultingAgreement(Durant).doc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lineRule="exact" w:line="255"/>
      <w:ind w:hanging="720" w:start="1440" w:end="5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2000-05-22T19:34:00Z</dcterms:created>
  <dc:creator>Enron</dc:creator>
  <dc:description/>
  <dc:language>en-CA</dc:language>
  <cp:lastModifiedBy>gnemec</cp:lastModifiedBy>
  <cp:lastPrinted>1999-09-22T17:18:00Z</cp:lastPrinted>
  <dcterms:modified xsi:type="dcterms:W3CDTF">2000-05-22T20:11:00Z</dcterms:modified>
  <cp:revision>5</cp:revision>
  <dc:subject/>
  <dc:title>CONSULTING SERVICES AGREEMENT</dc:title>
</cp:coreProperties>
</file>