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Header"/>
              <w:tabs>
                <w:tab w:val="clear" w:pos="4320"/>
                <w:tab w:val="clear" w:pos="8640"/>
              </w:tabs>
              <w:rPr/>
            </w:pPr>
            <w:r>
              <w:rPr/>
              <w:drawing>
                <wp:inline distT="0" distB="0" distL="0" distR="0">
                  <wp:extent cx="810895" cy="8032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10895" cy="803275"/>
                          </a:xfrm>
                          <a:prstGeom prst="rect">
                            <a:avLst/>
                          </a:prstGeom>
                          <a:noFill/>
                        </pic:spPr>
                      </pic:pic>
                    </a:graphicData>
                  </a:graphic>
                </wp:inline>
              </w:drawing>
            </w:r>
          </w:p>
        </w:tc>
        <w:tc>
          <w:tcPr>
            <w:tcW w:w="7740" w:type="dxa"/>
            <w:tcBorders/>
          </w:tcPr>
          <w:p>
            <w:pPr>
              <w:pStyle w:val="Heading"/>
              <w:rPr>
                <w:b w:val="false"/>
                <w:sz w:val="18"/>
              </w:rPr>
            </w:pPr>
            <w:r>
              <w:rPr>
                <w:rFonts w:eastAsia="Arial"/>
              </w:rPr>
              <w:t xml:space="preserve">                                                                          </w:t>
            </w:r>
            <w:r>
              <w:rPr>
                <w:sz w:val="18"/>
              </w:rPr>
              <w:t>Enron Power Marketing, Inc.</w:t>
            </w:r>
          </w:p>
          <w:p>
            <w:pPr>
              <w:pStyle w:val="Heading"/>
              <w:rPr/>
            </w:pPr>
            <w:r>
              <w:rPr>
                <w:rFonts w:eastAsia="Arial"/>
                <w:sz w:val="18"/>
              </w:rPr>
              <w:t xml:space="preserve">                                                                                    </w:t>
            </w:r>
            <w:r>
              <w:rPr>
                <w:rFonts w:eastAsia="Arial"/>
                <w:sz w:val="16"/>
              </w:rPr>
              <w:t xml:space="preserve">                </w:t>
            </w:r>
            <w:r>
              <w:rPr>
                <w:b w:val="false"/>
                <w:i/>
                <w:sz w:val="16"/>
              </w:rPr>
              <w:t>P.O. Box 4428</w:t>
            </w:r>
          </w:p>
          <w:p>
            <w:pPr>
              <w:pStyle w:val="Normal"/>
              <w:rPr>
                <w:rFonts w:ascii="Arial" w:hAnsi="Arial" w:cs="Arial"/>
                <w:i/>
                <w:i/>
                <w:sz w:val="16"/>
              </w:rPr>
            </w:pPr>
            <w:r>
              <w:rPr>
                <w:rFonts w:eastAsia="Arial" w:cs="Arial" w:ascii="Arial" w:hAnsi="Arial"/>
                <w:i/>
                <w:sz w:val="16"/>
              </w:rPr>
              <w:t xml:space="preserve">                                                                                                             </w:t>
            </w:r>
            <w:r>
              <w:rPr>
                <w:rFonts w:cs="Arial" w:ascii="Arial" w:hAnsi="Arial"/>
                <w:i/>
                <w:sz w:val="16"/>
              </w:rPr>
              <w:t>Houston, Texas 77210-4428</w:t>
            </w:r>
          </w:p>
          <w:p>
            <w:pPr>
              <w:pStyle w:val="Normal"/>
              <w:rPr/>
            </w:pPr>
            <w:r>
              <w:rPr>
                <w:sz w:val="16"/>
              </w:rPr>
              <w:t xml:space="preserve">                                                                                                                         </w:t>
            </w:r>
            <w:r>
              <w:rPr>
                <w:rFonts w:cs="Arial" w:ascii="Arial" w:hAnsi="Arial"/>
                <w:i/>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November 15, 2000</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Mathew Hunter</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Constellation Power Source, Inc.</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111 Market Place Ste 500</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Baltimore, MD 21202-4040</w:t>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(410) 468-3540</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15, 2000</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Constellation Power Source, Inc.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CAISO Energy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818"/>
        <w:gridCol w:w="7758"/>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77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818"/>
        <w:gridCol w:w="7758"/>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77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Constellation Power Source, Inc.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378" w:type="dxa"/>
        <w:jc w:val="start"/>
        <w:tblInd w:w="0" w:type="dxa"/>
        <w:tblLayout w:type="fixed"/>
        <w:tblCellMar>
          <w:top w:w="0" w:type="dxa"/>
          <w:start w:w="108" w:type="dxa"/>
          <w:bottom w:w="0" w:type="dxa"/>
          <w:end w:w="108" w:type="dxa"/>
        </w:tblCellMar>
      </w:tblPr>
      <w:tblGrid>
        <w:gridCol w:w="1818"/>
        <w:gridCol w:w="756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highlight w:val="yellow"/>
              </w:rPr>
            </w:pPr>
            <w:r>
              <w:rPr>
                <w:rFonts w:cs="Arial" w:ascii="Arial" w:hAnsi="Arial"/>
                <w:sz w:val="18"/>
              </w:rPr>
              <w:t>Type of Commodity:</w:t>
            </w:r>
          </w:p>
        </w:tc>
        <w:tc>
          <w:tcPr>
            <w:tcW w:w="756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highlight w:val="yellow"/>
              </w:rPr>
            </w:pPr>
            <w:r>
              <w:rPr>
                <w:rFonts w:cs="Arial" w:ascii="Arial" w:hAnsi="Arial"/>
                <w:sz w:val="18"/>
                <w:highlight w:val="yellow"/>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CAISO Energy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818"/>
        <w:gridCol w:w="7758"/>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lang w:val="en-CA"/>
              </w:rPr>
            </w:pPr>
            <w:r>
              <w:rPr>
                <w:rFonts w:cs="Arial" w:ascii="Arial" w:hAnsi="Arial"/>
                <w:sz w:val="18"/>
                <w:lang w:val="en-CA"/>
              </w:rPr>
              <w:t>Term:</w:t>
            </w:r>
          </w:p>
        </w:tc>
        <w:tc>
          <w:tcPr>
            <w:tcW w:w="77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lang w:val="en-CA"/>
              </w:rPr>
              <w:fldChar w:fldCharType="begin"/>
            </w:r>
            <w:r>
              <w:rPr>
                <w:sz w:val="18"/>
                <w:rFonts w:cs="Arial" w:ascii="Arial" w:hAnsi="Arial"/>
                <w:lang w:val="en-CA"/>
              </w:rPr>
              <w:instrText xml:space="preserve"> MERGEFIELD Term </w:instrText>
            </w:r>
            <w:r>
              <w:rPr>
                <w:sz w:val="18"/>
                <w:rFonts w:cs="Arial" w:ascii="Arial" w:hAnsi="Arial"/>
                <w:lang w:val="en-CA"/>
              </w:rPr>
              <w:fldChar w:fldCharType="separate"/>
            </w:r>
            <w:r>
              <w:rPr>
                <w:sz w:val="18"/>
                <w:rFonts w:cs="Arial" w:ascii="Arial" w:hAnsi="Arial"/>
                <w:lang w:val="en-CA"/>
              </w:rPr>
              <w:t xml:space="preserve">Monday, January 1, 2001 through Wednesday, January 31, 2001. </w:t>
              <w:t xml:space="preserve">Hour Ending (HE) 0700 through HE 2200 (16 Hours each day), </w:t>
              <w:t xml:space="preserve">Monday through Saturday only, excluding NERC Holidays; </w:t>
              <w:t xml:space="preserve">Pacific Prevailing Time. </w:t>
            </w:r>
            <w:r>
              <w:rPr>
                <w:sz w:val="18"/>
                <w:rFonts w:cs="Arial" w:ascii="Arial" w:hAnsi="Arial"/>
                <w:lang w:val="en-CA"/>
              </w:rPr>
              <w:fldChar w:fldCharType="end"/>
            </w:r>
            <w:r>
              <w:rPr>
                <w:rFonts w:cs="Arial" w:ascii="Arial" w:hAnsi="Arial"/>
                <w:sz w:val="18"/>
                <w:lang w:val="en-CA"/>
              </w:rPr>
              <w:t>(“On-Peak Hours”)</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lang w:val="en-CA"/>
        </w:rPr>
      </w:pPr>
      <w:r>
        <w:rPr>
          <w:rFonts w:cs="Arial" w:ascii="Arial" w:hAnsi="Arial"/>
          <w:sz w:val="18"/>
          <w:lang w:val="en-CA"/>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lang w:val="en-CA"/>
              </w:rPr>
            </w:pPr>
            <w:r>
              <w:rPr>
                <w:rFonts w:cs="Arial" w:ascii="Arial" w:hAnsi="Arial"/>
                <w:sz w:val="18"/>
                <w:lang w:val="en-CA"/>
              </w:rPr>
              <w:t>Price:</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rPr/>
            </w:pPr>
            <w:r>
              <w:rPr>
                <w:rFonts w:cs="Arial" w:ascii="Arial" w:hAnsi="Arial"/>
                <w:sz w:val="18"/>
                <w:lang w:val="en-CA"/>
              </w:rPr>
              <w:t xml:space="preserve">The average of the hourly day-ahead zonal prices as published by the California Power Exchange (the “CalPX”) on the CalPX’s official website currently located at </w:t>
            </w:r>
            <w:hyperlink r:id="rId3">
              <w:r>
                <w:rPr>
                  <w:rStyle w:val="Hyperlink"/>
                  <w:rFonts w:cs="Arial" w:ascii="Arial" w:hAnsi="Arial"/>
                  <w:sz w:val="18"/>
                  <w:lang w:val="en-CA"/>
                </w:rPr>
                <w:t>http://www.calpx.com/prices/index_prices_dayahead_trading.html</w:t>
              </w:r>
            </w:hyperlink>
            <w:r>
              <w:rPr>
                <w:rFonts w:cs="Arial" w:ascii="Arial" w:hAnsi="Arial"/>
                <w:sz w:val="18"/>
                <w:lang w:val="en-CA"/>
              </w:rPr>
              <w:t>, or any successor thereto, under the headings “Hourly Zonal Prices Constrained Report:  California Power Exchange Day-Ahead Zonal Prices (Constrained): NP -15” for electricity delivered during On-Peak Hours during the applicable Determination Period, plus US Dollars $</w:t>
            </w:r>
            <w:r>
              <w:rPr>
                <w:rFonts w:cs="Arial" w:ascii="Arial" w:hAnsi="Arial"/>
                <w:sz w:val="18"/>
                <w:lang w:val="en-CA"/>
              </w:rPr>
              <w:fldChar w:fldCharType="begin"/>
            </w:r>
            <w:r>
              <w:rPr>
                <w:sz w:val="18"/>
                <w:rFonts w:cs="Arial" w:ascii="Arial" w:hAnsi="Arial"/>
                <w:lang w:val="en-CA"/>
              </w:rPr>
              <w:instrText xml:space="preserve"> MERGEFIELD IndexOffset </w:instrText>
            </w:r>
            <w:r>
              <w:rPr>
                <w:sz w:val="18"/>
                <w:rFonts w:cs="Arial" w:ascii="Arial" w:hAnsi="Arial"/>
                <w:lang w:val="en-CA"/>
              </w:rPr>
              <w:fldChar w:fldCharType="separate"/>
            </w:r>
            <w:r>
              <w:rPr>
                <w:sz w:val="18"/>
                <w:rFonts w:cs="Arial" w:ascii="Arial" w:hAnsi="Arial"/>
                <w:lang w:val="en-CA"/>
              </w:rPr>
              <w:t>1.00/MWh</w:t>
            </w:r>
            <w:r>
              <w:rPr>
                <w:sz w:val="18"/>
                <w:rFonts w:cs="Arial" w:ascii="Arial" w:hAnsi="Arial"/>
                <w:lang w:val="en-CA"/>
              </w:rPr>
              <w:fldChar w:fldCharType="end"/>
            </w:r>
            <w:r>
              <w:rPr>
                <w:rFonts w:cs="Arial" w:ascii="Arial" w:hAnsi="Arial"/>
                <w:sz w:val="18"/>
                <w:lang w:val="en-CA"/>
              </w:rPr>
              <w:t xml:space="preserve">.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818"/>
        <w:gridCol w:w="7758"/>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77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SO2Quantity </w:instrText>
            </w:r>
            <w:r>
              <w:rPr>
                <w:sz w:val="18"/>
                <w:rFonts w:cs="Arial" w:ascii="Arial" w:hAnsi="Arial"/>
              </w:rPr>
              <w:fldChar w:fldCharType="separate"/>
            </w:r>
            <w:r>
              <w:rPr>
                <w:sz w:val="18"/>
                <w:rFonts w:cs="Arial" w:ascii="Arial" w:hAnsi="Arial"/>
              </w:rPr>
              <w:t>100</w:t>
            </w:r>
            <w:r>
              <w:rPr>
                <w:sz w:val="18"/>
                <w:rFonts w:cs="Arial" w:ascii="Arial" w:hAnsi="Arial"/>
              </w:rPr>
              <w:fldChar w:fldCharType="end"/>
            </w:r>
            <w:r>
              <w:rPr>
                <w:rFonts w:eastAsia="Arial" w:cs="Arial" w:ascii="Arial" w:hAnsi="Arial"/>
                <w:sz w:val="18"/>
              </w:rPr>
              <w:t xml:space="preserve"> </w:t>
            </w:r>
            <w:r>
              <w:rPr>
                <w:rFonts w:cs="Arial" w:ascii="Arial" w:hAnsi="Arial"/>
                <w:sz w:val="18"/>
              </w:rPr>
              <w:t>Mws of CAISO Energy per hour,</w:t>
            </w:r>
            <w:r>
              <w:rPr>
                <w:rFonts w:cs="Arial" w:ascii="Arial" w:hAnsi="Arial"/>
                <w:sz w:val="18"/>
              </w:rPr>
              <w:fldChar w:fldCharType="begin"/>
            </w:r>
            <w:r>
              <w:rPr>
                <w:sz w:val="18"/>
                <w:rFonts w:cs="Arial" w:ascii="Arial" w:hAnsi="Arial"/>
              </w:rPr>
              <w:instrText xml:space="preserve"> MERGEFIELD TotalQuantity </w:instrText>
            </w:r>
            <w:r>
              <w:rPr>
                <w:sz w:val="18"/>
                <w:rFonts w:cs="Arial" w:ascii="Arial" w:hAnsi="Arial"/>
              </w:rPr>
              <w:fldChar w:fldCharType="separate"/>
            </w:r>
            <w:r>
              <w:rPr>
                <w:sz w:val="18"/>
                <w:rFonts w:cs="Arial" w:ascii="Arial" w:hAnsi="Arial"/>
              </w:rPr>
              <w:t xml:space="preserve">      41,600 MWh</w:t>
            </w:r>
            <w:r>
              <w:rPr>
                <w:sz w:val="18"/>
                <w:rFonts w:cs="Arial" w:ascii="Arial" w:hAnsi="Arial"/>
              </w:rPr>
              <w:fldChar w:fldCharType="end"/>
            </w:r>
            <w:r>
              <w:rPr>
                <w:rFonts w:cs="Arial" w:ascii="Arial" w:hAnsi="Arial"/>
                <w:sz w:val="18"/>
              </w:rPr>
              <w:t xml:space="preserve"> Total</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818"/>
        <w:gridCol w:w="7758"/>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 Point:</w:t>
            </w:r>
          </w:p>
        </w:tc>
        <w:tc>
          <w:tcPr>
            <w:tcW w:w="77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NP-15</w:t>
            </w:r>
            <w:r>
              <w:rPr>
                <w:sz w:val="18"/>
                <w:rFonts w:cs="Arial" w:ascii="Arial" w:hAnsi="Arial"/>
              </w:rPr>
              <w:fldChar w:fldCharType="end"/>
            </w:r>
          </w:p>
        </w:tc>
      </w:tr>
    </w:tbl>
    <w:p>
      <w:pPr>
        <w:pStyle w:val="Normal"/>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818"/>
        <w:gridCol w:w="7758"/>
      </w:tblGrid>
      <w:tr>
        <w:trPr/>
        <w:tc>
          <w:tcPr>
            <w:tcW w:w="1818" w:type="dxa"/>
            <w:tcBorders/>
          </w:tcPr>
          <w:p>
            <w:pPr>
              <w:pStyle w:val="Normal"/>
              <w:jc w:val="both"/>
              <w:rPr>
                <w:rFonts w:ascii="Arial" w:hAnsi="Arial" w:cs="Arial"/>
                <w:sz w:val="18"/>
              </w:rPr>
            </w:pPr>
            <w:r>
              <w:rPr>
                <w:rFonts w:cs="Arial" w:ascii="Arial" w:hAnsi="Arial"/>
                <w:sz w:val="18"/>
              </w:rPr>
              <w:t>Scheduling:</w:t>
            </w:r>
          </w:p>
        </w:tc>
        <w:tc>
          <w:tcPr>
            <w:tcW w:w="7758" w:type="dxa"/>
            <w:tcBorders/>
          </w:tcPr>
          <w:p>
            <w:pPr>
              <w:pStyle w:val="Normal"/>
              <w:jc w:val="both"/>
              <w:rPr>
                <w:rFonts w:ascii="Arial" w:hAnsi="Arial" w:cs="Arial"/>
                <w:sz w:val="18"/>
              </w:rPr>
            </w:pPr>
            <w:r>
              <w:rPr>
                <w:rFonts w:cs="Arial" w:ascii="Arial" w:hAnsi="Arial"/>
                <w:sz w:val="18"/>
              </w:rPr>
              <w:t>EPMI Real Time Operations: 1-800-684-1336</w:t>
            </w:r>
          </w:p>
          <w:p>
            <w:pPr>
              <w:pStyle w:val="Normal"/>
              <w:jc w:val="both"/>
              <w:rPr>
                <w:rFonts w:ascii="Arial" w:hAnsi="Arial" w:cs="Arial"/>
                <w:sz w:val="18"/>
              </w:rPr>
            </w:pPr>
            <w:r>
              <w:rPr>
                <w:rFonts w:cs="Arial" w:ascii="Arial" w:hAnsi="Arial"/>
                <w:sz w:val="18"/>
              </w:rPr>
              <w:t>Power deliveries shall be scheduled with the California Independent System Operator (CAISO) as a Schedule Coordinator to Schedule Coordinator transaction.  Scheduling timelines shall be consistent with ISO tariffs, protocols, operating procedures, and scheduling practices.</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BodyTextIndent"/>
        <w:ind w:start="0" w:end="0"/>
        <w:rPr/>
      </w:pPr>
      <w:r>
        <w:rPr>
          <w:rFonts w:cs="Arial" w:ascii="Arial" w:hAnsi="Arial"/>
          <w:sz w:val="18"/>
        </w:rPr>
        <w:tab/>
      </w:r>
      <w:r>
        <w:rPr>
          <w:rFonts w:cs="Arial" w:ascii="Arial" w:hAnsi="Arial"/>
          <w:b w:val="false"/>
          <w:sz w:val="18"/>
        </w:rPr>
        <w:t>"CAISO Energy"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b/>
          <w:sz w:val="18"/>
        </w:rPr>
      </w:pPr>
      <w:r>
        <w:rPr>
          <w:rFonts w:cs="Arial" w:ascii="Arial" w:hAnsi="Arial"/>
          <w:b/>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Market Disruption.  If a Market Disruption Event has occurred and is continuing during the Determination Period, the Floating Price for such Trading Day shall be determined pursuant to the index specified in the Transaction for the first Trading Day thereafter on which no Market Disruption Event exists; provided, however,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EPMI, by taking the average of two of more dealer quotes.</w:t>
      </w:r>
    </w:p>
    <w:p>
      <w:pPr>
        <w:pStyle w:val="Normal"/>
        <w:jc w:val="both"/>
        <w:rPr>
          <w:rFonts w:ascii="Arial" w:hAnsi="Arial" w:cs="Arial"/>
          <w:sz w:val="18"/>
          <w:u w:val="single"/>
        </w:rPr>
      </w:pPr>
      <w:r>
        <w:rPr>
          <w:rFonts w:cs="Arial" w:ascii="Arial" w:hAnsi="Arial"/>
          <w:sz w:val="18"/>
          <w:u w:val="single"/>
        </w:rPr>
      </w:r>
    </w:p>
    <w:p>
      <w:pPr>
        <w:pStyle w:val="Normal"/>
        <w:ind w:start="720" w:end="0"/>
        <w:jc w:val="both"/>
        <w:rPr/>
      </w:pPr>
      <w:r>
        <w:rPr>
          <w:rFonts w:cs="Arial" w:ascii="Arial" w:hAnsi="Arial"/>
          <w:sz w:val="18"/>
        </w:rPr>
        <w:t>“</w:t>
      </w:r>
      <w:r>
        <w:rPr>
          <w:rFonts w:cs="Arial" w:ascii="Arial" w:hAnsi="Arial"/>
          <w:sz w:val="18"/>
          <w:u w:val="single"/>
        </w:rPr>
        <w:t>Determination Period</w:t>
      </w:r>
      <w:r>
        <w:rPr>
          <w:rFonts w:cs="Arial" w:ascii="Arial" w:hAnsi="Arial"/>
          <w:sz w:val="18"/>
        </w:rPr>
        <w:t>” means each calendar month during the term of the relevant Transaction; provided that if the term of the Transaction is less than one calendar month the Determination Period shall be the term of the Transaction.</w:t>
      </w:r>
    </w:p>
    <w:p>
      <w:pPr>
        <w:pStyle w:val="Normal"/>
        <w:ind w:start="720" w:end="0"/>
        <w:jc w:val="both"/>
        <w:rPr>
          <w:rFonts w:ascii="Arial" w:hAnsi="Arial" w:cs="Arial"/>
          <w:sz w:val="18"/>
        </w:rPr>
      </w:pPr>
      <w:r>
        <w:rPr>
          <w:rFonts w:cs="Arial" w:ascii="Arial" w:hAnsi="Arial"/>
          <w:sz w:val="18"/>
        </w:rPr>
      </w:r>
    </w:p>
    <w:p>
      <w:pPr>
        <w:pStyle w:val="Normal"/>
        <w:ind w:start="720" w:end="0"/>
        <w:jc w:val="both"/>
        <w:rPr/>
      </w:pPr>
      <w:r>
        <w:rPr>
          <w:rFonts w:cs="Arial" w:ascii="Arial" w:hAnsi="Arial"/>
          <w:sz w:val="18"/>
        </w:rPr>
        <w:t>“</w:t>
      </w:r>
      <w:r>
        <w:rPr>
          <w:rFonts w:cs="Arial" w:ascii="Arial" w:hAnsi="Arial"/>
          <w:sz w:val="18"/>
          <w:u w:val="single"/>
        </w:rPr>
        <w:t>Floating Price</w:t>
      </w:r>
      <w:r>
        <w:rPr>
          <w:rFonts w:cs="Arial" w:ascii="Arial" w:hAnsi="Arial"/>
          <w:sz w:val="18"/>
        </w:rPr>
        <w:t>” means the price specified in the Transaction as being based upon a specified index.</w:t>
      </w:r>
    </w:p>
    <w:p>
      <w:pPr>
        <w:pStyle w:val="Normal"/>
        <w:ind w:start="720" w:end="0"/>
        <w:jc w:val="both"/>
        <w:rPr>
          <w:rFonts w:ascii="Arial" w:hAnsi="Arial" w:cs="Arial"/>
          <w:sz w:val="18"/>
        </w:rPr>
      </w:pPr>
      <w:r>
        <w:rPr>
          <w:rFonts w:cs="Arial" w:ascii="Arial" w:hAnsi="Arial"/>
          <w:sz w:val="18"/>
        </w:rPr>
      </w:r>
    </w:p>
    <w:p>
      <w:pPr>
        <w:pStyle w:val="Normal"/>
        <w:ind w:start="720" w:end="0"/>
        <w:jc w:val="both"/>
        <w:rPr/>
      </w:pPr>
      <w:r>
        <w:rPr>
          <w:rFonts w:cs="Arial" w:ascii="Arial" w:hAnsi="Arial"/>
          <w:sz w:val="18"/>
          <w:u w:val="single"/>
        </w:rPr>
        <w:t>"Market Disruption Event</w:t>
      </w:r>
      <w:r>
        <w:rPr>
          <w:rFonts w:cs="Arial" w:ascii="Arial" w:hAnsi="Arial"/>
          <w:sz w:val="18"/>
        </w:rPr>
        <w:t>" means, with respect to an index, any of the following events (the existence of which shall be determined in good faith by EPMI):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p>
    <w:p>
      <w:pPr>
        <w:pStyle w:val="Normal"/>
        <w:ind w:start="720" w:end="0"/>
        <w:jc w:val="both"/>
        <w:rPr>
          <w:rFonts w:ascii="Arial" w:hAnsi="Arial" w:cs="Arial"/>
          <w:sz w:val="18"/>
        </w:rPr>
      </w:pPr>
      <w:r>
        <w:rPr>
          <w:rFonts w:cs="Arial" w:ascii="Arial" w:hAnsi="Arial"/>
          <w:sz w:val="18"/>
        </w:rPr>
      </w:r>
    </w:p>
    <w:p>
      <w:pPr>
        <w:pStyle w:val="Normal"/>
        <w:ind w:start="720" w:end="0"/>
        <w:jc w:val="both"/>
        <w:rPr/>
      </w:pPr>
      <w:r>
        <w:rPr>
          <w:rFonts w:cs="Arial" w:ascii="Arial" w:hAnsi="Arial"/>
          <w:sz w:val="18"/>
        </w:rPr>
        <w:t>“</w:t>
      </w:r>
      <w:r>
        <w:rPr>
          <w:rFonts w:cs="Arial" w:ascii="Arial" w:hAnsi="Arial"/>
          <w:sz w:val="18"/>
          <w:u w:val="single"/>
        </w:rPr>
        <w:t>Trading Day</w:t>
      </w:r>
      <w:r>
        <w:rPr>
          <w:rFonts w:cs="Arial" w:ascii="Arial" w:hAnsi="Arial"/>
          <w:sz w:val="18"/>
        </w:rPr>
        <w:t>” means a day in respect of which the relevant price source published the relevant price.</w:t>
      </w:r>
    </w:p>
    <w:p>
      <w:pPr>
        <w:pStyle w:val="Normal"/>
        <w:jc w:val="both"/>
        <w:rPr>
          <w:rFonts w:ascii="Arial" w:hAnsi="Arial" w:cs="Arial"/>
          <w:sz w:val="18"/>
        </w:rPr>
      </w:pPr>
      <w:r>
        <w:rPr>
          <w:rFonts w:cs="Arial" w:ascii="Arial" w:hAnsi="Arial"/>
          <w:sz w:val="18"/>
        </w:rPr>
      </w:r>
    </w:p>
    <w:p>
      <w:pPr>
        <w:pStyle w:val="BodyText"/>
        <w:rPr/>
      </w:pPr>
      <w:r>
        <w:rPr>
          <w:rFonts w:cs="Arial" w:ascii="Arial" w:hAnsi="Arial"/>
          <w:sz w:val="18"/>
          <w:u w:val="single"/>
        </w:rPr>
        <w:t>Corrections to Published Prices</w:t>
      </w:r>
      <w:r>
        <w:rPr>
          <w:rFonts w:cs="Arial" w:ascii="Arial" w:hAnsi="Arial"/>
          <w:sz w:val="18"/>
        </w:rPr>
        <w:t>.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sz w:val="18"/>
          <w:u w:val="single"/>
        </w:rPr>
        <w:t>Calculation of Floating Price</w:t>
      </w:r>
      <w:r>
        <w:rPr>
          <w:rFonts w:cs="Arial" w:ascii="Arial" w:hAnsi="Arial"/>
          <w:sz w:val="18"/>
        </w:rPr>
        <w:t>.  For the purposes of the calculation of a Floating Price, all numbers shall be rounded to three (3) decimal places.  If the fourth (4</w:t>
      </w:r>
      <w:r>
        <w:rPr>
          <w:rFonts w:cs="Arial" w:ascii="Arial" w:hAnsi="Arial"/>
          <w:sz w:val="18"/>
          <w:vertAlign w:val="superscript"/>
        </w:rPr>
        <w:t>th</w:t>
      </w:r>
      <w:r>
        <w:rPr>
          <w:rFonts w:cs="Arial" w:ascii="Arial" w:hAnsi="Arial"/>
          <w:sz w:val="18"/>
        </w:rPr>
        <w:t>) decimal number is five (5) or greater, then the third (3</w:t>
      </w:r>
      <w:r>
        <w:rPr>
          <w:rFonts w:cs="Arial" w:ascii="Arial" w:hAnsi="Arial"/>
          <w:sz w:val="18"/>
          <w:vertAlign w:val="superscript"/>
        </w:rPr>
        <w:t>rd</w:t>
      </w:r>
      <w:r>
        <w:rPr>
          <w:rFonts w:cs="Arial" w:ascii="Arial" w:hAnsi="Arial"/>
          <w:sz w:val="18"/>
        </w:rPr>
        <w:t>) decimal number shall be increased by one (1), and if the fourth (4</w:t>
      </w:r>
      <w:r>
        <w:rPr>
          <w:rFonts w:cs="Arial" w:ascii="Arial" w:hAnsi="Arial"/>
          <w:sz w:val="18"/>
          <w:vertAlign w:val="superscript"/>
        </w:rPr>
        <w:t>th</w:t>
      </w:r>
      <w:r>
        <w:rPr>
          <w:rFonts w:cs="Arial" w:ascii="Arial" w:hAnsi="Arial"/>
          <w:sz w:val="18"/>
        </w:rPr>
        <w:t>) decimal number is less than five (5), then the third (3</w:t>
      </w:r>
      <w:r>
        <w:rPr>
          <w:rFonts w:cs="Arial" w:ascii="Arial" w:hAnsi="Arial"/>
          <w:sz w:val="18"/>
          <w:vertAlign w:val="superscript"/>
        </w:rPr>
        <w:t>rd</w:t>
      </w:r>
      <w:r>
        <w:rPr>
          <w:rFonts w:cs="Arial" w:ascii="Arial" w:hAnsi="Arial"/>
          <w:sz w:val="18"/>
        </w:rPr>
        <w:t>) decimal number shall remain unchanged.</w:t>
      </w:r>
    </w:p>
    <w:p>
      <w:pPr>
        <w:pStyle w:val="BodyText"/>
        <w:rPr>
          <w:rFonts w:ascii="Arial" w:hAnsi="Arial" w:cs="Arial"/>
          <w:sz w:val="18"/>
        </w:rPr>
      </w:pPr>
      <w:r>
        <w:rPr>
          <w:rFonts w:cs="Arial" w:ascii="Arial" w:hAnsi="Arial"/>
          <w:sz w:val="18"/>
        </w:rPr>
      </w:r>
    </w:p>
    <w:p>
      <w:pPr>
        <w:pStyle w:val="BodyText"/>
        <w:rPr>
          <w:rFonts w:ascii="Arial" w:hAnsi="Arial" w:cs="Arial"/>
          <w:sz w:val="18"/>
        </w:rPr>
      </w:pPr>
      <w:r>
        <w:rPr>
          <w:rFonts w:cs="Arial" w:ascii="Arial" w:hAnsi="Arial"/>
          <w:sz w:val="18"/>
        </w:rPr>
        <w:t>Confidentiality. 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BodyText"/>
        <w:rPr>
          <w:rFonts w:ascii="Arial" w:hAnsi="Arial" w:cs="Arial"/>
          <w:sz w:val="18"/>
        </w:rPr>
      </w:pPr>
      <w:r>
        <w:rPr>
          <w:rFonts w:cs="Arial" w:ascii="Arial" w:hAnsi="Arial"/>
          <w:sz w:val="18"/>
        </w:rPr>
      </w:r>
    </w:p>
    <w:p>
      <w:pPr>
        <w:pStyle w:val="BodyText"/>
        <w:rPr/>
      </w:pPr>
      <w:r>
        <w:rPr>
          <w:rFonts w:cs="Arial" w:ascii="Arial" w:hAnsi="Arial"/>
          <w:sz w:val="18"/>
        </w:rPr>
        <w:t xml:space="preserve">This confirmation letter is being provided pursuant to and in accordance with the Master Energy Purchase and Sale Agreement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Constellation Power Source, Inc.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dated November 24, 1997, (“Agreement”), and constitutes part of and is subject to all of the terms and provisions of such agreement; Notwithstanding any contrary provisions in this Confirmation or the Agreement, any conflict between this Confirmation and the Agreement shall be resolved in favor of this Confirmation.   Terms used but not defined herein shall have the meanings ascribed to them in the Agreement.</w:t>
      </w:r>
    </w:p>
    <w:p>
      <w:pPr>
        <w:pStyle w:val="BodyText"/>
        <w:rPr>
          <w:rFonts w:ascii="Arial" w:hAnsi="Arial" w:cs="Arial"/>
          <w:sz w:val="18"/>
        </w:rPr>
      </w:pPr>
      <w:r>
        <w:rPr>
          <w:rFonts w:cs="Arial" w:ascii="Arial" w:hAnsi="Arial"/>
          <w:sz w:val="18"/>
        </w:rPr>
      </w:r>
    </w:p>
    <w:p>
      <w:pPr>
        <w:pStyle w:val="Normal"/>
        <w:keepLines/>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15, 2000</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(713) 646-2491.  Your response should reflect the appropriate party in your organization who has the authority to enter into this transaction. If you have any questions please call (713) 853-1886.</w:t>
      </w:r>
    </w:p>
    <w:p>
      <w:pPr>
        <w:pStyle w:val="Normal"/>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Constellation Power Source, Inc.</w:t>
            </w:r>
            <w:r>
              <w:rPr>
                <w:sz w:val="18"/>
                <w:rFonts w:cs="Arial" w:ascii="Arial" w:hAnsi="Arial"/>
              </w:rPr>
              <w:fldChar w:fldCharType="end"/>
            </w:r>
          </w:p>
        </w:tc>
        <w:tc>
          <w:tcPr>
            <w:tcW w:w="4518" w:type="dxa"/>
            <w:tcBorders/>
          </w:tcPr>
          <w:p>
            <w:pPr>
              <w:pStyle w:val="Normal"/>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 xml:space="preserve">By: </w:t>
      </w:r>
      <w:r>
        <w:rPr>
          <w:rFonts w:cs="Arial" w:ascii="Arial" w:hAnsi="Arial"/>
          <w:sz w:val="18"/>
        </w:rPr>
        <w:fldChar w:fldCharType="begin"/>
      </w:r>
      <w:r>
        <w:rPr>
          <w:sz w:val="18"/>
          <w:rFonts w:cs="Arial" w:ascii="Arial" w:hAnsi="Arial"/>
        </w:rPr>
        <w:instrText xml:space="preserve"> MERGEFIELD SignatureGoesHere </w:instrText>
      </w:r>
      <w:r>
        <w:rPr>
          <w:sz w:val="18"/>
          <w:rFonts w:cs="Arial" w:ascii="Arial" w:hAnsi="Arial"/>
        </w:rPr>
        <w:fldChar w:fldCharType="separate"/>
      </w:r>
      <w:r>
        <w:rPr>
          <w:sz w:val="18"/>
          <w:rFonts w:cs="Arial" w:ascii="Arial" w:hAnsi="Arial"/>
        </w:rPr>
        <w:t xml:space="preserve"> </w:t>
        <w:br/>
      </w:r>
      <w:r>
        <w:rPr>
          <w:sz w:val="18"/>
          <w:rFonts w:cs="Arial" w:ascii="Arial" w:hAnsi="Arial"/>
        </w:rPr>
        <w:fldChar w:fldCharType="end"/>
      </w:r>
    </w:p>
    <w:p>
      <w:pPr>
        <w:pStyle w:val="Normal"/>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 xml:space="preserve">Name: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Tim Belden</w:t>
      </w:r>
      <w:r>
        <w:rPr>
          <w:sz w:val="18"/>
          <w:rFonts w:cs="Arial" w:ascii="Arial" w:hAnsi="Arial"/>
        </w:rPr>
        <w:fldChar w:fldCharType="end"/>
      </w:r>
    </w:p>
    <w:p>
      <w:pPr>
        <w:pStyle w:val="Normal"/>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Lines/>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Title:       __________________________</w:t>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Vice President</w:t>
      </w:r>
      <w:r>
        <w:rPr>
          <w:sz w:val="18"/>
          <w:rFonts w:cs="Arial" w:ascii="Arial" w:hAnsi="Arial"/>
        </w:rPr>
        <w:fldChar w:fldCharType="end"/>
      </w:r>
    </w:p>
    <w:sectPr>
      <w:headerReference w:type="default" r:id="rId4"/>
      <w:footerReference w:type="default" r:id="rId5"/>
      <w:type w:val="continuous"/>
      <w:pgSz w:w="11955" w:h="15840"/>
      <w:pgMar w:left="1170" w:right="1095" w:gutter="0" w:header="720" w:top="1440" w:footer="720" w:bottom="1440"/>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rPr>
        <w:rFonts w:ascii="Arial" w:hAnsi="Arial" w:cs="Arial"/>
      </w:rPr>
    </w:pPr>
    <w:r>
      <w:rPr>
        <w:sz w:val="26"/>
      </w:rPr>
      <w:fldChar w:fldCharType="begin"/>
    </w:r>
    <w:r>
      <w:rPr>
        <w:sz w:val="26"/>
      </w:rPr>
      <w:instrText xml:space="preserve"> SUBJECT </w:instrText>
    </w:r>
    <w:r>
      <w:rPr>
        <w:sz w:val="26"/>
      </w:rPr>
      <w:fldChar w:fldCharType="separate"/>
    </w:r>
    <w:r>
      <w:rPr>
        <w:sz w:val="26"/>
      </w:rPr>
    </w:r>
    <w:r>
      <w:rPr>
        <w:sz w:val="26"/>
      </w:rPr>
      <w:fldChar w:fldCharType="end"/>
    </w:r>
    <w:r>
      <w:rPr>
        <w:sz w:val="26"/>
      </w:rPr>
      <w:tab/>
      <w:t xml:space="preserve">                                                                         </w:t>
    </w:r>
    <w:r>
      <w:rPr>
        <w:rFonts w:cs="Arial" w:ascii="Arial" w:hAnsi="Arial"/>
      </w:rPr>
      <w:fldChar w:fldCharType="begin"/>
    </w:r>
    <w:r>
      <w:rPr>
        <w:rFonts w:cs="Arial" w:ascii="Arial" w:hAnsi="Arial"/>
      </w:rPr>
      <w:instrText xml:space="preserve"> AUTHOR </w:instrText>
    </w:r>
    <w:r>
      <w:rPr>
        <w:rFonts w:cs="Arial" w:ascii="Arial" w:hAnsi="Arial"/>
      </w:rPr>
      <w:fldChar w:fldCharType="separate"/>
    </w:r>
    <w:r>
      <w:rPr>
        <w:rFonts w:cs="Arial" w:ascii="Arial" w:hAnsi="Arial"/>
      </w:rPr>
      <w:t xml:space="preserve"> </w:t>
    </w:r>
    <w:r>
      <w:rPr>
        <w:rFonts w:cs="Arial" w:ascii="Arial" w:hAnsi="Arial"/>
      </w:rPr>
      <w:fldChar w:fldCharType="end"/>
    </w:r>
  </w:p>
  <w:p>
    <w:pPr>
      <w:pStyle w:val="Header"/>
      <w:tabs>
        <w:tab w:val="center" w:pos="4320" w:leader="none"/>
        <w:tab w:val="left" w:pos="7380" w:leader="none"/>
        <w:tab w:val="right" w:pos="8640" w:leader="none"/>
      </w:tabs>
      <w:rPr/>
    </w:pPr>
    <w:r>
      <w:rPr>
        <w:rFonts w:cs="Arial" w:ascii="Arial" w:hAnsi="Arial"/>
      </w:rPr>
      <w:tab/>
      <w:t xml:space="preserve">                                                                                          Deal No. </w:t>
    </w:r>
    <w:r>
      <w:rPr>
        <w:rFonts w:cs="Arial" w:ascii="Arial" w:hAnsi="Arial"/>
      </w:rPr>
      <w:fldChar w:fldCharType="begin"/>
    </w:r>
    <w:r>
      <w:rPr>
        <w:rFonts w:cs="Arial" w:ascii="Arial" w:hAnsi="Arial"/>
      </w:rPr>
      <w:instrText xml:space="preserve"> TITLE </w:instrText>
    </w:r>
    <w:r>
      <w:rPr>
        <w:rFonts w:cs="Arial" w:ascii="Arial" w:hAnsi="Arial"/>
      </w:rPr>
      <w:fldChar w:fldCharType="separate"/>
    </w:r>
    <w:r>
      <w:rPr>
        <w:rFonts w:cs="Arial" w:ascii="Arial" w:hAnsi="Arial"/>
      </w:rPr>
      <w:t>459996.1</w:t>
    </w:r>
    <w:r>
      <w:rPr>
        <w:rFonts w:cs="Arial" w:ascii="Arial" w:hAnsi="Arial"/>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rPr>
      <w:rFonts w:ascii="Arial" w:hAnsi="Arial" w:cs="Arial"/>
      <w:b/>
      <w:sz w:val="24"/>
    </w:rPr>
  </w:style>
  <w:style w:type="paragraph" w:styleId="BodyText">
    <w:name w:val="Body Text"/>
    <w:basedOn w:val="Normal"/>
    <w:pPr/>
    <w:rPr>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tabs>
        <w:tab w:val="left" w:pos="720" w:leader="none"/>
        <w:tab w:val="left" w:pos="1440" w:leader="none"/>
        <w:tab w:val="left" w:pos="2160" w:leader="none"/>
        <w:tab w:val="left" w:pos="4320" w:leader="none"/>
        <w:tab w:val="left" w:pos="5040" w:leader="none"/>
        <w:tab w:val="left" w:pos="5760" w:leader="none"/>
        <w:tab w:val="left" w:pos="6480" w:leader="none"/>
      </w:tabs>
      <w:ind w:hanging="1440" w:start="1440" w:end="0"/>
      <w:jc w:val="both"/>
    </w:pPr>
    <w:rPr>
      <w:rFonts w:ascii="Courier New" w:hAnsi="Courier New" w:cs="Courier New"/>
      <w:b/>
    </w:rPr>
  </w:style>
  <w:style w:type="paragraph" w:styleId="BodyText2">
    <w:name w:val="Body Text 2"/>
    <w:basedOn w:val="Normal"/>
    <w:qFormat/>
    <w:pPr>
      <w:tabs>
        <w:tab w:val="left" w:pos="720" w:leader="none"/>
        <w:tab w:val="left" w:pos="1440" w:leader="none"/>
        <w:tab w:val="left" w:pos="2160" w:leader="none"/>
        <w:tab w:val="left" w:pos="4320" w:leader="none"/>
        <w:tab w:val="left" w:pos="5040" w:leader="none"/>
        <w:tab w:val="left" w:pos="5760" w:leader="none"/>
        <w:tab w:val="left" w:pos="6480" w:leader="none"/>
      </w:tabs>
      <w:jc w:val="both"/>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calpx.com/prices/index_prices_dayahead_trading.html"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2001-01-17T16:53:00Z</dcterms:created>
  <dc:creator> </dc:creator>
  <dc:description/>
  <dc:language>en-CA</dc:language>
  <cp:lastModifiedBy>kallen3</cp:lastModifiedBy>
  <dcterms:modified xsi:type="dcterms:W3CDTF">2001-01-17T16:53:00Z</dcterms:modified>
  <cp:revision>2</cp:revision>
  <dc:subject/>
  <dc:title>459996.1</dc:title>
</cp:coreProperties>
</file>