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r>
    </w:p>
    <w:p>
      <w:pPr>
        <w:pStyle w:val="Footer"/>
        <w:tabs>
          <w:tab w:val="clear" w:pos="4320"/>
          <w:tab w:val="clear" w:pos="8640"/>
        </w:tabs>
        <w:rPr/>
      </w:pPr>
      <w:r>
        <w:rPr/>
        <w:t>May 22, 2000</w:t>
      </w:r>
    </w:p>
    <w:p>
      <w:pPr>
        <w:pStyle w:val="Normal"/>
        <w:jc w:val="both"/>
        <w:rPr>
          <w:b/>
        </w:rPr>
      </w:pPr>
      <w:r>
        <w:rPr>
          <w:b/>
        </w:rPr>
      </w:r>
    </w:p>
    <w:p>
      <w:pPr>
        <w:pStyle w:val="Normal"/>
        <w:jc w:val="both"/>
        <w:rPr>
          <w:b/>
        </w:rPr>
      </w:pPr>
      <w:r>
        <w:rPr>
          <w:b/>
        </w:rPr>
      </w:r>
    </w:p>
    <w:p>
      <w:pPr>
        <w:pStyle w:val="Normal"/>
        <w:jc w:val="both"/>
        <w:rPr/>
      </w:pPr>
      <w:r>
        <w:rPr/>
        <w:t>To All Parties to ADR Process in Docket No. RP99-507-000:</w:t>
      </w:r>
    </w:p>
    <w:p>
      <w:pPr>
        <w:pStyle w:val="Normal"/>
        <w:jc w:val="both"/>
        <w:rPr/>
      </w:pPr>
      <w:r>
        <w:rPr/>
      </w:r>
    </w:p>
    <w:p>
      <w:pPr>
        <w:pStyle w:val="Normal"/>
        <w:jc w:val="both"/>
        <w:rPr/>
      </w:pPr>
      <w:r>
        <w:rPr/>
      </w:r>
    </w:p>
    <w:p>
      <w:pPr>
        <w:pStyle w:val="Normal"/>
        <w:jc w:val="both"/>
        <w:rPr/>
      </w:pPr>
      <w:r>
        <w:rPr/>
        <w:t>As promised at the ADR session held in Washington on May 16</w:t>
      </w:r>
      <w:r>
        <w:rPr>
          <w:vertAlign w:val="superscript"/>
        </w:rPr>
        <w:t>th</w:t>
      </w:r>
      <w:r>
        <w:rPr/>
        <w:t xml:space="preserve">, attached hereto is a list of the business objectives (as opposed to methodologies) that were identified by each of the parties.  Because we felt it would be beneficial to the discussions at the May 25-26 session, we have also taken the liberty of consolidating these business objectives into one list organized by topic.  </w:t>
      </w:r>
    </w:p>
    <w:p>
      <w:pPr>
        <w:pStyle w:val="Normal"/>
        <w:jc w:val="both"/>
        <w:rPr/>
      </w:pPr>
      <w:r>
        <w:rPr/>
      </w:r>
    </w:p>
    <w:p>
      <w:pPr>
        <w:pStyle w:val="Normal"/>
        <w:jc w:val="both"/>
        <w:rPr/>
      </w:pPr>
      <w:r>
        <w:rPr/>
        <w:t xml:space="preserve">The objectives listed for the individual parties are only those identified at the May 16 session, not all of those contained in the written documents circulated previously.  For parties such as the SCGC which provided written objectives but did not make an oral presentation at the meeting, there is no identification of objectives on this list.  This is true for the CPUC as well, which circulated its objectives by email subsequent to the last session.  We assume that these parties will further explain their objectives at the next session. </w:t>
      </w:r>
      <w:r>
        <w:br w:type="page"/>
      </w:r>
    </w:p>
    <w:p>
      <w:pPr>
        <w:pStyle w:val="Normal"/>
        <w:jc w:val="center"/>
        <w:rPr>
          <w:b/>
          <w:u w:val="single"/>
        </w:rPr>
      </w:pPr>
      <w:r>
        <w:rPr>
          <w:b/>
          <w:u w:val="single"/>
        </w:rPr>
        <w:t>Parties’ Business Objectives Stated at May 16, 2000 ADR Session</w:t>
      </w:r>
    </w:p>
    <w:p>
      <w:pPr>
        <w:pStyle w:val="Normal"/>
        <w:jc w:val="center"/>
        <w:rPr>
          <w:b/>
          <w:u w:val="single"/>
        </w:rPr>
      </w:pPr>
      <w:r>
        <w:rPr>
          <w:b/>
          <w:u w:val="single"/>
        </w:rPr>
      </w:r>
    </w:p>
    <w:p>
      <w:pPr>
        <w:pStyle w:val="Normal"/>
        <w:jc w:val="both"/>
        <w:rPr>
          <w:b/>
          <w:u w:val="single"/>
        </w:rPr>
      </w:pPr>
      <w:r>
        <w:rPr>
          <w:b/>
          <w:u w:val="single"/>
        </w:rPr>
      </w:r>
    </w:p>
    <w:p>
      <w:pPr>
        <w:pStyle w:val="Normal"/>
        <w:jc w:val="both"/>
        <w:rPr>
          <w:b/>
          <w:u w:val="single"/>
        </w:rPr>
      </w:pPr>
      <w:r>
        <w:rPr>
          <w:b/>
          <w:u w:val="single"/>
        </w:rPr>
        <w:t>BP Amoco</w:t>
      </w:r>
    </w:p>
    <w:p>
      <w:pPr>
        <w:pStyle w:val="Normal"/>
        <w:jc w:val="both"/>
        <w:rPr>
          <w:b/>
          <w:u w:val="single"/>
        </w:rPr>
      </w:pPr>
      <w:r>
        <w:rPr>
          <w:b/>
          <w:u w:val="single"/>
        </w:rPr>
      </w:r>
    </w:p>
    <w:p>
      <w:pPr>
        <w:pStyle w:val="Normal"/>
        <w:jc w:val="both"/>
        <w:rPr/>
      </w:pPr>
      <w:r>
        <w:rPr/>
        <w:tab/>
        <w:t>1.</w:t>
        <w:tab/>
        <w:t>Certainty in scheduling and flow</w:t>
      </w:r>
    </w:p>
    <w:p>
      <w:pPr>
        <w:pStyle w:val="Normal"/>
        <w:jc w:val="both"/>
        <w:rPr/>
      </w:pPr>
      <w:r>
        <w:rPr/>
        <w:tab/>
        <w:t>2.</w:t>
        <w:tab/>
        <w:t>Avoidance of delay</w:t>
      </w:r>
    </w:p>
    <w:p>
      <w:pPr>
        <w:pStyle w:val="Normal"/>
        <w:jc w:val="both"/>
        <w:rPr/>
      </w:pPr>
      <w:r>
        <w:rPr/>
        <w:tab/>
        <w:t>3.</w:t>
        <w:tab/>
        <w:t>GISB-compliant unlimited pooling</w:t>
      </w:r>
    </w:p>
    <w:p>
      <w:pPr>
        <w:pStyle w:val="Normal"/>
        <w:jc w:val="both"/>
        <w:rPr/>
      </w:pPr>
      <w:r>
        <w:rPr/>
      </w:r>
    </w:p>
    <w:p>
      <w:pPr>
        <w:pStyle w:val="Normal"/>
        <w:jc w:val="both"/>
        <w:rPr>
          <w:b/>
          <w:u w:val="single"/>
        </w:rPr>
      </w:pPr>
      <w:r>
        <w:rPr>
          <w:b/>
          <w:u w:val="single"/>
        </w:rPr>
        <w:t>Burlington Resources</w:t>
      </w:r>
    </w:p>
    <w:p>
      <w:pPr>
        <w:pStyle w:val="Normal"/>
        <w:jc w:val="both"/>
        <w:rPr>
          <w:b/>
          <w:u w:val="single"/>
        </w:rPr>
      </w:pPr>
      <w:r>
        <w:rPr>
          <w:b/>
          <w:u w:val="single"/>
        </w:rPr>
      </w:r>
    </w:p>
    <w:p>
      <w:pPr>
        <w:pStyle w:val="Normal"/>
        <w:jc w:val="both"/>
        <w:rPr/>
      </w:pPr>
      <w:r>
        <w:rPr/>
        <w:tab/>
        <w:t>1.</w:t>
        <w:tab/>
        <w:t>Uncontested settlement</w:t>
      </w:r>
    </w:p>
    <w:p>
      <w:pPr>
        <w:pStyle w:val="Normal"/>
        <w:jc w:val="both"/>
        <w:rPr/>
      </w:pPr>
      <w:r>
        <w:rPr/>
        <w:tab/>
        <w:t>2.</w:t>
        <w:tab/>
        <w:t>Avoidance of delay</w:t>
      </w:r>
    </w:p>
    <w:p>
      <w:pPr>
        <w:pStyle w:val="Normal"/>
        <w:jc w:val="both"/>
        <w:rPr/>
      </w:pPr>
      <w:r>
        <w:rPr/>
        <w:tab/>
        <w:t>3.</w:t>
        <w:tab/>
        <w:t xml:space="preserve">Resolution of fuel issue as contemplated by the 1996 Settlement </w:t>
      </w:r>
      <w:r>
        <w:rPr>
          <w:u w:val="single"/>
        </w:rPr>
        <w:t>or</w:t>
      </w:r>
    </w:p>
    <w:p>
      <w:pPr>
        <w:pStyle w:val="Normal"/>
        <w:jc w:val="both"/>
        <w:rPr/>
      </w:pPr>
      <w:r>
        <w:rPr/>
        <w:tab/>
        <w:t>4.</w:t>
        <w:tab/>
        <w:t>Path the system</w:t>
      </w:r>
    </w:p>
    <w:p>
      <w:pPr>
        <w:pStyle w:val="Normal"/>
        <w:jc w:val="both"/>
        <w:rPr/>
      </w:pPr>
      <w:r>
        <w:rPr/>
      </w:r>
    </w:p>
    <w:p>
      <w:pPr>
        <w:pStyle w:val="Normal"/>
        <w:jc w:val="both"/>
        <w:rPr>
          <w:b/>
          <w:u w:val="single"/>
        </w:rPr>
      </w:pPr>
      <w:r>
        <w:rPr>
          <w:b/>
          <w:u w:val="single"/>
        </w:rPr>
        <w:t>Conoco</w:t>
      </w:r>
    </w:p>
    <w:p>
      <w:pPr>
        <w:pStyle w:val="Normal"/>
        <w:jc w:val="both"/>
        <w:rPr>
          <w:b/>
          <w:u w:val="single"/>
        </w:rPr>
      </w:pPr>
      <w:r>
        <w:rPr>
          <w:b/>
          <w:u w:val="single"/>
        </w:rPr>
      </w:r>
    </w:p>
    <w:p>
      <w:pPr>
        <w:pStyle w:val="Normal"/>
        <w:jc w:val="both"/>
        <w:rPr/>
      </w:pPr>
      <w:r>
        <w:rPr/>
        <w:tab/>
        <w:t>1.</w:t>
        <w:tab/>
        <w:t>Certainty in scheduling and flow through pathing the system</w:t>
      </w:r>
    </w:p>
    <w:p>
      <w:pPr>
        <w:pStyle w:val="Normal"/>
        <w:jc w:val="both"/>
        <w:rPr/>
      </w:pPr>
      <w:r>
        <w:rPr/>
        <w:tab/>
        <w:t>2.</w:t>
        <w:tab/>
        <w:t>Certainty on Havasu or compensation to Havasu shippers</w:t>
      </w:r>
    </w:p>
    <w:p>
      <w:pPr>
        <w:pStyle w:val="Normal"/>
        <w:jc w:val="both"/>
        <w:rPr/>
      </w:pPr>
      <w:r>
        <w:rPr/>
        <w:tab/>
        <w:t>3.</w:t>
        <w:tab/>
        <w:t>Avoidance of delay</w:t>
      </w:r>
    </w:p>
    <w:p>
      <w:pPr>
        <w:pStyle w:val="Normal"/>
        <w:jc w:val="both"/>
        <w:rPr/>
      </w:pPr>
      <w:r>
        <w:rPr/>
        <w:tab/>
        <w:t>4.</w:t>
        <w:tab/>
        <w:t>GISB-compliant unlimited pooling</w:t>
      </w:r>
    </w:p>
    <w:p>
      <w:pPr>
        <w:pStyle w:val="Normal"/>
        <w:jc w:val="both"/>
        <w:rPr/>
      </w:pPr>
      <w:r>
        <w:rPr/>
        <w:tab/>
        <w:t>5.</w:t>
        <w:tab/>
        <w:t>Fuel, to a lesser degree</w:t>
      </w:r>
    </w:p>
    <w:p>
      <w:pPr>
        <w:pStyle w:val="Normal"/>
        <w:jc w:val="both"/>
        <w:rPr/>
      </w:pPr>
      <w:r>
        <w:rPr/>
      </w:r>
    </w:p>
    <w:p>
      <w:pPr>
        <w:pStyle w:val="Normal"/>
        <w:jc w:val="both"/>
        <w:rPr>
          <w:b/>
          <w:u w:val="single"/>
        </w:rPr>
      </w:pPr>
      <w:r>
        <w:rPr>
          <w:b/>
          <w:u w:val="single"/>
        </w:rPr>
        <w:t>Dynegy</w:t>
      </w:r>
    </w:p>
    <w:p>
      <w:pPr>
        <w:pStyle w:val="Normal"/>
        <w:jc w:val="both"/>
        <w:rPr>
          <w:b/>
          <w:u w:val="single"/>
        </w:rPr>
      </w:pPr>
      <w:r>
        <w:rPr>
          <w:b/>
          <w:u w:val="single"/>
        </w:rPr>
      </w:r>
    </w:p>
    <w:p>
      <w:pPr>
        <w:pStyle w:val="Normal"/>
        <w:jc w:val="both"/>
        <w:rPr/>
      </w:pPr>
      <w:r>
        <w:rPr/>
        <w:tab/>
        <w:t>1.</w:t>
        <w:tab/>
        <w:t>Certainty in scheduling and flow</w:t>
      </w:r>
    </w:p>
    <w:p>
      <w:pPr>
        <w:pStyle w:val="Normal"/>
        <w:jc w:val="both"/>
        <w:rPr/>
      </w:pPr>
      <w:r>
        <w:rPr/>
        <w:tab/>
        <w:t>2.</w:t>
        <w:tab/>
        <w:t>Avoidance of delay</w:t>
      </w:r>
    </w:p>
    <w:p>
      <w:pPr>
        <w:pStyle w:val="Normal"/>
        <w:jc w:val="both"/>
        <w:rPr/>
      </w:pPr>
      <w:r>
        <w:rPr/>
        <w:tab/>
        <w:t>3.</w:t>
        <w:tab/>
        <w:t xml:space="preserve">GISB-compliant unlimited pooling that follows shipper-provided </w:t>
      </w:r>
    </w:p>
    <w:p>
      <w:pPr>
        <w:pStyle w:val="Normal"/>
        <w:jc w:val="both"/>
        <w:rPr/>
      </w:pPr>
      <w:r>
        <w:rPr/>
        <w:tab/>
        <w:tab/>
        <w:t>allocations</w:t>
      </w:r>
    </w:p>
    <w:p>
      <w:pPr>
        <w:pStyle w:val="Normal"/>
        <w:jc w:val="both"/>
        <w:rPr/>
      </w:pPr>
      <w:r>
        <w:rPr/>
      </w:r>
    </w:p>
    <w:p>
      <w:pPr>
        <w:pStyle w:val="Normal"/>
        <w:keepNext w:val="true"/>
        <w:keepLines/>
        <w:jc w:val="both"/>
        <w:rPr>
          <w:b/>
          <w:u w:val="single"/>
        </w:rPr>
      </w:pPr>
      <w:r>
        <w:rPr>
          <w:b/>
          <w:u w:val="single"/>
        </w:rPr>
        <w:t>El Paso Merchant Energy</w:t>
      </w:r>
    </w:p>
    <w:p>
      <w:pPr>
        <w:pStyle w:val="Normal"/>
        <w:keepNext w:val="true"/>
        <w:keepLines/>
        <w:jc w:val="both"/>
        <w:rPr>
          <w:b/>
          <w:u w:val="single"/>
        </w:rPr>
      </w:pPr>
      <w:r>
        <w:rPr>
          <w:b/>
          <w:u w:val="single"/>
        </w:rPr>
      </w:r>
    </w:p>
    <w:p>
      <w:pPr>
        <w:pStyle w:val="Normal"/>
        <w:jc w:val="both"/>
        <w:rPr/>
      </w:pPr>
      <w:r>
        <w:rPr/>
        <w:tab/>
        <w:t>1.</w:t>
        <w:tab/>
        <w:t>Maintain systemwide receipt points</w:t>
      </w:r>
    </w:p>
    <w:p>
      <w:pPr>
        <w:pStyle w:val="Normal"/>
        <w:jc w:val="both"/>
        <w:rPr/>
      </w:pPr>
      <w:r>
        <w:rPr/>
        <w:tab/>
        <w:t>2.</w:t>
        <w:tab/>
        <w:t>Maintain Block II rights at all Topock delivery points</w:t>
      </w:r>
    </w:p>
    <w:p>
      <w:pPr>
        <w:pStyle w:val="Normal"/>
        <w:jc w:val="both"/>
        <w:rPr/>
      </w:pPr>
      <w:r>
        <w:rPr/>
        <w:tab/>
        <w:t>3.</w:t>
        <w:tab/>
        <w:t>Everyone should share in the pain of achieving a settlement</w:t>
      </w:r>
    </w:p>
    <w:p>
      <w:pPr>
        <w:pStyle w:val="Normal"/>
        <w:jc w:val="both"/>
        <w:rPr/>
      </w:pPr>
      <w:r>
        <w:rPr/>
        <w:tab/>
        <w:t>4.</w:t>
        <w:tab/>
        <w:t>Rights to SoCal-Topock for EPME Block II contract</w:t>
      </w:r>
    </w:p>
    <w:p>
      <w:pPr>
        <w:pStyle w:val="Normal"/>
        <w:jc w:val="both"/>
        <w:rPr/>
      </w:pPr>
      <w:r>
        <w:rPr/>
      </w:r>
      <w:r>
        <w:br w:type="page"/>
      </w:r>
    </w:p>
    <w:p>
      <w:pPr>
        <w:pStyle w:val="Normal"/>
        <w:jc w:val="center"/>
        <w:rPr>
          <w:b/>
          <w:u w:val="single"/>
        </w:rPr>
      </w:pPr>
      <w:r>
        <w:rPr>
          <w:b/>
          <w:u w:val="single"/>
        </w:rPr>
        <w:t>Parties’ Business Objectives Stated at May 16 ADR Session</w:t>
      </w:r>
    </w:p>
    <w:p>
      <w:pPr>
        <w:pStyle w:val="Normal"/>
        <w:jc w:val="center"/>
        <w:rPr>
          <w:b/>
          <w:u w:val="single"/>
        </w:rPr>
      </w:pPr>
      <w:r>
        <w:rPr>
          <w:b/>
          <w:u w:val="single"/>
        </w:rPr>
      </w:r>
    </w:p>
    <w:p>
      <w:pPr>
        <w:pStyle w:val="Normal"/>
        <w:jc w:val="both"/>
        <w:rPr/>
      </w:pPr>
      <w:r>
        <w:rPr/>
      </w:r>
    </w:p>
    <w:p>
      <w:pPr>
        <w:pStyle w:val="Normal"/>
        <w:keepNext w:val="true"/>
        <w:keepLines/>
        <w:jc w:val="both"/>
        <w:rPr>
          <w:b/>
          <w:u w:val="single"/>
        </w:rPr>
      </w:pPr>
      <w:r>
        <w:rPr>
          <w:b/>
          <w:u w:val="single"/>
        </w:rPr>
        <w:t>El Paso Natural Gas</w:t>
      </w:r>
    </w:p>
    <w:p>
      <w:pPr>
        <w:pStyle w:val="Normal"/>
        <w:keepNext w:val="true"/>
        <w:keepLines/>
        <w:jc w:val="both"/>
        <w:rPr>
          <w:b/>
          <w:u w:val="single"/>
        </w:rPr>
      </w:pPr>
      <w:r>
        <w:rPr>
          <w:b/>
          <w:u w:val="single"/>
        </w:rPr>
      </w:r>
    </w:p>
    <w:p>
      <w:pPr>
        <w:pStyle w:val="Normal"/>
        <w:jc w:val="both"/>
        <w:rPr/>
      </w:pPr>
      <w:r>
        <w:rPr/>
        <w:tab/>
        <w:t>1.</w:t>
        <w:tab/>
        <w:t>Uncontested settlement</w:t>
      </w:r>
    </w:p>
    <w:p>
      <w:pPr>
        <w:pStyle w:val="Normal"/>
        <w:jc w:val="both"/>
        <w:rPr/>
      </w:pPr>
      <w:r>
        <w:rPr/>
        <w:tab/>
        <w:t>2.</w:t>
        <w:tab/>
        <w:t>Avoidance of delay</w:t>
      </w:r>
    </w:p>
    <w:p>
      <w:pPr>
        <w:pStyle w:val="Normal"/>
        <w:jc w:val="both"/>
        <w:rPr/>
      </w:pPr>
      <w:r>
        <w:rPr/>
        <w:tab/>
        <w:t>3.</w:t>
        <w:tab/>
        <w:t>Preservation of 1996 Settlement benefits, including:</w:t>
      </w:r>
    </w:p>
    <w:p>
      <w:pPr>
        <w:pStyle w:val="Normal"/>
        <w:jc w:val="both"/>
        <w:rPr/>
      </w:pPr>
      <w:r>
        <w:rPr/>
        <w:tab/>
        <w:tab/>
        <w:t>a.</w:t>
        <w:tab/>
        <w:t>Value of turned-back capacity</w:t>
      </w:r>
    </w:p>
    <w:p>
      <w:pPr>
        <w:pStyle w:val="Normal"/>
        <w:jc w:val="both"/>
        <w:rPr/>
      </w:pPr>
      <w:r>
        <w:rPr/>
        <w:tab/>
        <w:tab/>
        <w:t>b.</w:t>
        <w:tab/>
        <w:t>Recall rights for Block II shippers</w:t>
      </w:r>
    </w:p>
    <w:p>
      <w:pPr>
        <w:pStyle w:val="Normal"/>
        <w:jc w:val="both"/>
        <w:rPr/>
      </w:pPr>
      <w:r>
        <w:rPr/>
        <w:tab/>
        <w:tab/>
        <w:t>c.</w:t>
        <w:tab/>
        <w:t>Full requirements service</w:t>
      </w:r>
    </w:p>
    <w:p>
      <w:pPr>
        <w:pStyle w:val="Normal"/>
        <w:jc w:val="both"/>
        <w:rPr/>
      </w:pPr>
      <w:r>
        <w:rPr/>
        <w:tab/>
        <w:tab/>
        <w:t>d.</w:t>
        <w:tab/>
        <w:t>Fuel resolution</w:t>
      </w:r>
    </w:p>
    <w:p>
      <w:pPr>
        <w:pStyle w:val="Normal"/>
        <w:jc w:val="both"/>
        <w:rPr/>
      </w:pPr>
      <w:r>
        <w:rPr/>
      </w:r>
    </w:p>
    <w:p>
      <w:pPr>
        <w:pStyle w:val="Normal"/>
        <w:jc w:val="both"/>
        <w:rPr>
          <w:b/>
          <w:u w:val="single"/>
        </w:rPr>
      </w:pPr>
      <w:r>
        <w:rPr>
          <w:b/>
          <w:u w:val="single"/>
        </w:rPr>
        <w:t>Enron</w:t>
      </w:r>
    </w:p>
    <w:p>
      <w:pPr>
        <w:pStyle w:val="Normal"/>
        <w:jc w:val="both"/>
        <w:rPr>
          <w:b/>
          <w:u w:val="single"/>
        </w:rPr>
      </w:pPr>
      <w:r>
        <w:rPr>
          <w:b/>
          <w:u w:val="single"/>
        </w:rPr>
      </w:r>
    </w:p>
    <w:p>
      <w:pPr>
        <w:pStyle w:val="Normal"/>
        <w:jc w:val="both"/>
        <w:rPr/>
      </w:pPr>
      <w:r>
        <w:rPr/>
        <w:tab/>
        <w:t>1.</w:t>
        <w:tab/>
        <w:t>GISB-compliant unlimited pooling that follows shipper rankings</w:t>
      </w:r>
    </w:p>
    <w:p>
      <w:pPr>
        <w:pStyle w:val="Normal"/>
        <w:jc w:val="both"/>
        <w:rPr/>
      </w:pPr>
      <w:r>
        <w:rPr/>
        <w:tab/>
        <w:t>2.</w:t>
        <w:tab/>
        <w:t>Certainty in scheduling and flow</w:t>
      </w:r>
    </w:p>
    <w:p>
      <w:pPr>
        <w:pStyle w:val="Normal"/>
        <w:jc w:val="both"/>
        <w:rPr/>
      </w:pPr>
      <w:r>
        <w:rPr/>
      </w:r>
    </w:p>
    <w:p>
      <w:pPr>
        <w:pStyle w:val="Normal"/>
        <w:keepNext w:val="true"/>
        <w:keepLines/>
        <w:jc w:val="both"/>
        <w:rPr>
          <w:b/>
          <w:u w:val="single"/>
        </w:rPr>
      </w:pPr>
      <w:r>
        <w:rPr>
          <w:b/>
          <w:u w:val="single"/>
        </w:rPr>
        <w:t>EOC Full Requirements Shippers</w:t>
      </w:r>
    </w:p>
    <w:p>
      <w:pPr>
        <w:pStyle w:val="Normal"/>
        <w:keepNext w:val="true"/>
        <w:keepLines/>
        <w:jc w:val="both"/>
        <w:rPr>
          <w:b/>
          <w:u w:val="single"/>
        </w:rPr>
      </w:pPr>
      <w:r>
        <w:rPr>
          <w:b/>
          <w:u w:val="single"/>
        </w:rPr>
      </w:r>
    </w:p>
    <w:p>
      <w:pPr>
        <w:pStyle w:val="Normal"/>
        <w:jc w:val="both"/>
        <w:rPr/>
      </w:pPr>
      <w:r>
        <w:rPr/>
        <w:tab/>
        <w:t>1.</w:t>
        <w:tab/>
        <w:t>Sustain principles and economic value of 1996 Settlement</w:t>
      </w:r>
    </w:p>
    <w:p>
      <w:pPr>
        <w:pStyle w:val="Normal"/>
        <w:jc w:val="both"/>
        <w:rPr/>
      </w:pPr>
      <w:r>
        <w:rPr/>
        <w:tab/>
        <w:t>2.</w:t>
        <w:tab/>
        <w:t>Maintain sanctity of EOC Full Requirements contracts</w:t>
      </w:r>
    </w:p>
    <w:p>
      <w:pPr>
        <w:pStyle w:val="Normal"/>
        <w:jc w:val="both"/>
        <w:rPr/>
      </w:pPr>
      <w:r>
        <w:rPr/>
        <w:tab/>
        <w:t>3.</w:t>
        <w:tab/>
        <w:t>Retain systemwide receipt points</w:t>
      </w:r>
    </w:p>
    <w:p>
      <w:pPr>
        <w:pStyle w:val="Normal"/>
        <w:jc w:val="both"/>
        <w:rPr/>
      </w:pPr>
      <w:r>
        <w:rPr/>
      </w:r>
    </w:p>
    <w:p>
      <w:pPr>
        <w:pStyle w:val="Normal"/>
        <w:keepNext w:val="true"/>
        <w:keepLines/>
        <w:jc w:val="both"/>
        <w:rPr>
          <w:b/>
          <w:u w:val="single"/>
        </w:rPr>
      </w:pPr>
      <w:r>
        <w:rPr>
          <w:b/>
          <w:u w:val="single"/>
        </w:rPr>
        <w:t>Marathon</w:t>
      </w:r>
    </w:p>
    <w:p>
      <w:pPr>
        <w:pStyle w:val="Normal"/>
        <w:keepNext w:val="true"/>
        <w:keepLines/>
        <w:jc w:val="both"/>
        <w:rPr>
          <w:b/>
          <w:u w:val="single"/>
        </w:rPr>
      </w:pPr>
      <w:r>
        <w:rPr>
          <w:b/>
          <w:u w:val="single"/>
        </w:rPr>
      </w:r>
    </w:p>
    <w:p>
      <w:pPr>
        <w:pStyle w:val="Normal"/>
        <w:jc w:val="both"/>
        <w:rPr/>
      </w:pPr>
      <w:r>
        <w:rPr/>
        <w:tab/>
        <w:t>1.</w:t>
        <w:tab/>
        <w:t>Certainty in scheduling and flow</w:t>
      </w:r>
    </w:p>
    <w:p>
      <w:pPr>
        <w:pStyle w:val="Normal"/>
        <w:jc w:val="both"/>
        <w:rPr/>
      </w:pPr>
      <w:r>
        <w:rPr/>
        <w:tab/>
        <w:t>2.</w:t>
        <w:tab/>
        <w:t>Avoidance of delay</w:t>
      </w:r>
    </w:p>
    <w:p>
      <w:pPr>
        <w:pStyle w:val="Normal"/>
        <w:jc w:val="both"/>
        <w:rPr/>
      </w:pPr>
      <w:r>
        <w:rPr/>
        <w:tab/>
        <w:t>3.</w:t>
        <w:tab/>
        <w:t>GISB-compliant unlimited pooling</w:t>
      </w:r>
    </w:p>
    <w:p>
      <w:pPr>
        <w:pStyle w:val="Normal"/>
        <w:jc w:val="both"/>
        <w:rPr/>
      </w:pPr>
      <w:r>
        <w:rPr/>
      </w:r>
    </w:p>
    <w:p>
      <w:pPr>
        <w:pStyle w:val="Normal"/>
        <w:jc w:val="both"/>
        <w:rPr>
          <w:b/>
          <w:u w:val="single"/>
        </w:rPr>
      </w:pPr>
      <w:r>
        <w:rPr>
          <w:b/>
          <w:u w:val="single"/>
        </w:rPr>
        <w:t>Oneok</w:t>
      </w:r>
    </w:p>
    <w:p>
      <w:pPr>
        <w:pStyle w:val="Normal"/>
        <w:jc w:val="both"/>
        <w:rPr>
          <w:b/>
          <w:u w:val="single"/>
        </w:rPr>
      </w:pPr>
      <w:r>
        <w:rPr>
          <w:b/>
          <w:u w:val="single"/>
        </w:rPr>
      </w:r>
    </w:p>
    <w:p>
      <w:pPr>
        <w:pStyle w:val="Normal"/>
        <w:jc w:val="both"/>
        <w:rPr/>
      </w:pPr>
      <w:r>
        <w:rPr/>
        <w:tab/>
        <w:t>1.</w:t>
        <w:tab/>
        <w:t>Certainty of flow east and west</w:t>
      </w:r>
    </w:p>
    <w:p>
      <w:pPr>
        <w:pStyle w:val="Normal"/>
        <w:jc w:val="both"/>
        <w:rPr/>
      </w:pPr>
      <w:r>
        <w:rPr/>
        <w:tab/>
        <w:t>2.</w:t>
        <w:tab/>
        <w:t>Certainty on Havasu or contract relief</w:t>
      </w:r>
    </w:p>
    <w:p>
      <w:pPr>
        <w:pStyle w:val="Normal"/>
        <w:jc w:val="both"/>
        <w:rPr/>
      </w:pPr>
      <w:r>
        <w:rPr/>
      </w:r>
    </w:p>
    <w:p>
      <w:pPr>
        <w:pStyle w:val="Normal"/>
        <w:jc w:val="both"/>
        <w:rPr>
          <w:b/>
          <w:u w:val="single"/>
        </w:rPr>
      </w:pPr>
      <w:r>
        <w:rPr>
          <w:b/>
          <w:u w:val="single"/>
        </w:rPr>
        <w:t>PG&amp;E Energy Trading</w:t>
      </w:r>
    </w:p>
    <w:p>
      <w:pPr>
        <w:pStyle w:val="Normal"/>
        <w:jc w:val="both"/>
        <w:rPr>
          <w:b/>
          <w:u w:val="single"/>
        </w:rPr>
      </w:pPr>
      <w:r>
        <w:rPr>
          <w:b/>
          <w:u w:val="single"/>
        </w:rPr>
      </w:r>
    </w:p>
    <w:p>
      <w:pPr>
        <w:pStyle w:val="Normal"/>
        <w:jc w:val="both"/>
        <w:rPr/>
      </w:pPr>
      <w:r>
        <w:rPr/>
        <w:tab/>
        <w:t>1.</w:t>
        <w:tab/>
        <w:t>Certainty on Havasu or adequate compensation</w:t>
      </w:r>
    </w:p>
    <w:p>
      <w:pPr>
        <w:pStyle w:val="Normal"/>
        <w:jc w:val="both"/>
        <w:rPr/>
      </w:pPr>
      <w:r>
        <w:rPr/>
      </w:r>
      <w:r>
        <w:br w:type="page"/>
      </w:r>
    </w:p>
    <w:p>
      <w:pPr>
        <w:pStyle w:val="Normal"/>
        <w:jc w:val="center"/>
        <w:rPr>
          <w:b/>
          <w:u w:val="single"/>
        </w:rPr>
      </w:pPr>
      <w:r>
        <w:rPr>
          <w:b/>
          <w:u w:val="single"/>
        </w:rPr>
        <w:t>Parties’ Business Objectives Stated at May 16 ADR Session</w:t>
      </w:r>
    </w:p>
    <w:p>
      <w:pPr>
        <w:pStyle w:val="Normal"/>
        <w:jc w:val="center"/>
        <w:rPr>
          <w:b/>
          <w:u w:val="single"/>
        </w:rPr>
      </w:pPr>
      <w:r>
        <w:rPr>
          <w:b/>
          <w:u w:val="single"/>
        </w:rPr>
      </w:r>
    </w:p>
    <w:p>
      <w:pPr>
        <w:pStyle w:val="Normal"/>
        <w:jc w:val="both"/>
        <w:rPr/>
      </w:pPr>
      <w:r>
        <w:rPr/>
      </w:r>
    </w:p>
    <w:p>
      <w:pPr>
        <w:pStyle w:val="Normal"/>
        <w:jc w:val="both"/>
        <w:rPr>
          <w:b/>
          <w:u w:val="single"/>
        </w:rPr>
      </w:pPr>
      <w:r>
        <w:rPr>
          <w:b/>
          <w:u w:val="single"/>
        </w:rPr>
        <w:t>PG&amp;E</w:t>
      </w:r>
    </w:p>
    <w:p>
      <w:pPr>
        <w:pStyle w:val="Normal"/>
        <w:jc w:val="both"/>
        <w:rPr>
          <w:b/>
          <w:u w:val="single"/>
        </w:rPr>
      </w:pPr>
      <w:r>
        <w:rPr>
          <w:b/>
          <w:u w:val="single"/>
        </w:rPr>
      </w:r>
    </w:p>
    <w:p>
      <w:pPr>
        <w:pStyle w:val="Normal"/>
        <w:jc w:val="both"/>
        <w:rPr/>
      </w:pPr>
      <w:r>
        <w:rPr/>
        <w:tab/>
        <w:t>1.</w:t>
        <w:tab/>
        <w:t>Global settlement</w:t>
      </w:r>
    </w:p>
    <w:p>
      <w:pPr>
        <w:pStyle w:val="Normal"/>
        <w:jc w:val="both"/>
        <w:rPr/>
      </w:pPr>
      <w:r>
        <w:rPr/>
        <w:tab/>
        <w:t>2.</w:t>
        <w:tab/>
        <w:t>Certainty in scheduling</w:t>
      </w:r>
    </w:p>
    <w:p>
      <w:pPr>
        <w:pStyle w:val="Normal"/>
        <w:jc w:val="both"/>
        <w:rPr/>
      </w:pPr>
      <w:r>
        <w:rPr/>
        <w:tab/>
        <w:t>3.</w:t>
        <w:tab/>
        <w:t xml:space="preserve">Continued access to competitive San Juan supplies or return of PG&amp;E's </w:t>
      </w:r>
    </w:p>
    <w:p>
      <w:pPr>
        <w:pStyle w:val="Normal"/>
        <w:jc w:val="both"/>
        <w:rPr/>
      </w:pPr>
      <w:r>
        <w:rPr/>
        <w:tab/>
        <w:tab/>
        <w:t>risk-sharing dollars</w:t>
      </w:r>
    </w:p>
    <w:p>
      <w:pPr>
        <w:pStyle w:val="Normal"/>
        <w:jc w:val="center"/>
        <w:rPr/>
      </w:pPr>
      <w:r>
        <w:rPr/>
      </w:r>
    </w:p>
    <w:p>
      <w:pPr>
        <w:pStyle w:val="Normal"/>
        <w:keepNext w:val="true"/>
        <w:keepLines/>
        <w:jc w:val="both"/>
        <w:rPr>
          <w:b/>
          <w:u w:val="single"/>
        </w:rPr>
      </w:pPr>
      <w:r>
        <w:rPr>
          <w:b/>
          <w:u w:val="single"/>
        </w:rPr>
        <w:t>Phillips</w:t>
      </w:r>
    </w:p>
    <w:p>
      <w:pPr>
        <w:pStyle w:val="Normal"/>
        <w:keepNext w:val="true"/>
        <w:keepLines/>
        <w:jc w:val="both"/>
        <w:rPr>
          <w:b/>
          <w:u w:val="single"/>
        </w:rPr>
      </w:pPr>
      <w:r>
        <w:rPr>
          <w:b/>
          <w:u w:val="single"/>
        </w:rPr>
      </w:r>
    </w:p>
    <w:p>
      <w:pPr>
        <w:pStyle w:val="Normal"/>
        <w:jc w:val="both"/>
        <w:rPr/>
      </w:pPr>
      <w:r>
        <w:rPr/>
        <w:tab/>
        <w:t>1.</w:t>
        <w:tab/>
        <w:t>Certainty in scheduling and flow</w:t>
      </w:r>
    </w:p>
    <w:p>
      <w:pPr>
        <w:pStyle w:val="Normal"/>
        <w:jc w:val="both"/>
        <w:rPr/>
      </w:pPr>
      <w:r>
        <w:rPr/>
        <w:tab/>
        <w:t>2.</w:t>
        <w:tab/>
        <w:t>Avoidance of delay</w:t>
      </w:r>
    </w:p>
    <w:p>
      <w:pPr>
        <w:pStyle w:val="Normal"/>
        <w:jc w:val="both"/>
        <w:rPr/>
      </w:pPr>
      <w:r>
        <w:rPr/>
        <w:tab/>
        <w:t>3.</w:t>
        <w:tab/>
        <w:t>GISB-compliant unlimited pooling</w:t>
      </w:r>
    </w:p>
    <w:p>
      <w:pPr>
        <w:pStyle w:val="Normal"/>
        <w:jc w:val="both"/>
        <w:rPr/>
      </w:pPr>
      <w:r>
        <w:rPr/>
      </w:r>
    </w:p>
    <w:p>
      <w:pPr>
        <w:pStyle w:val="Normal"/>
        <w:jc w:val="both"/>
        <w:rPr>
          <w:b/>
          <w:u w:val="single"/>
        </w:rPr>
      </w:pPr>
      <w:r>
        <w:rPr>
          <w:b/>
          <w:u w:val="single"/>
        </w:rPr>
        <w:t>PUC Nevada</w:t>
      </w:r>
    </w:p>
    <w:p>
      <w:pPr>
        <w:pStyle w:val="Normal"/>
        <w:jc w:val="both"/>
        <w:rPr>
          <w:b/>
          <w:u w:val="single"/>
        </w:rPr>
      </w:pPr>
      <w:r>
        <w:rPr>
          <w:b/>
          <w:u w:val="single"/>
        </w:rPr>
      </w:r>
    </w:p>
    <w:p>
      <w:pPr>
        <w:pStyle w:val="Normal"/>
        <w:jc w:val="both"/>
        <w:rPr/>
      </w:pPr>
      <w:r>
        <w:rPr/>
        <w:tab/>
        <w:t>1.</w:t>
        <w:tab/>
        <w:t>Retention of existing benefits for Nevada consumers</w:t>
      </w:r>
    </w:p>
    <w:p>
      <w:pPr>
        <w:pStyle w:val="Normal"/>
        <w:jc w:val="both"/>
        <w:rPr/>
      </w:pPr>
      <w:r>
        <w:rPr/>
      </w:r>
    </w:p>
    <w:p>
      <w:pPr>
        <w:pStyle w:val="Normal"/>
        <w:jc w:val="both"/>
        <w:rPr>
          <w:b/>
          <w:u w:val="single"/>
        </w:rPr>
      </w:pPr>
      <w:r>
        <w:rPr>
          <w:b/>
          <w:u w:val="single"/>
        </w:rPr>
        <w:t>SoCal Edison</w:t>
      </w:r>
    </w:p>
    <w:p>
      <w:pPr>
        <w:pStyle w:val="Normal"/>
        <w:jc w:val="both"/>
        <w:rPr>
          <w:b/>
          <w:u w:val="single"/>
        </w:rPr>
      </w:pPr>
      <w:r>
        <w:rPr>
          <w:b/>
          <w:u w:val="single"/>
        </w:rPr>
      </w:r>
    </w:p>
    <w:p>
      <w:pPr>
        <w:pStyle w:val="Normal"/>
        <w:jc w:val="both"/>
        <w:rPr/>
      </w:pPr>
      <w:r>
        <w:rPr/>
        <w:tab/>
        <w:t>1.</w:t>
        <w:tab/>
        <w:t>Certainty of flow</w:t>
      </w:r>
    </w:p>
    <w:p>
      <w:pPr>
        <w:pStyle w:val="Normal"/>
        <w:jc w:val="both"/>
        <w:rPr/>
      </w:pPr>
      <w:r>
        <w:rPr/>
      </w:r>
    </w:p>
    <w:p>
      <w:pPr>
        <w:pStyle w:val="Normal"/>
        <w:keepNext w:val="true"/>
        <w:keepLines/>
        <w:jc w:val="both"/>
        <w:rPr>
          <w:b/>
          <w:u w:val="single"/>
        </w:rPr>
      </w:pPr>
      <w:r>
        <w:rPr>
          <w:b/>
          <w:u w:val="single"/>
        </w:rPr>
        <w:t>SoCal Gas</w:t>
      </w:r>
    </w:p>
    <w:p>
      <w:pPr>
        <w:pStyle w:val="Normal"/>
        <w:keepNext w:val="true"/>
        <w:keepLines/>
        <w:jc w:val="both"/>
        <w:rPr>
          <w:b/>
          <w:u w:val="single"/>
        </w:rPr>
      </w:pPr>
      <w:r>
        <w:rPr>
          <w:b/>
          <w:u w:val="single"/>
        </w:rPr>
      </w:r>
    </w:p>
    <w:p>
      <w:pPr>
        <w:pStyle w:val="Normal"/>
        <w:jc w:val="both"/>
        <w:rPr/>
      </w:pPr>
      <w:r>
        <w:rPr/>
        <w:tab/>
        <w:t>1.</w:t>
        <w:tab/>
        <w:t>Certainty of contract rights</w:t>
      </w:r>
    </w:p>
    <w:p>
      <w:pPr>
        <w:pStyle w:val="Normal"/>
        <w:jc w:val="both"/>
        <w:rPr/>
      </w:pPr>
      <w:r>
        <w:rPr/>
        <w:tab/>
        <w:t>2.</w:t>
        <w:tab/>
        <w:t>540 MMcf/d at SoCal-Topock or reduction in contractual obligations</w:t>
      </w:r>
    </w:p>
    <w:p>
      <w:pPr>
        <w:pStyle w:val="Normal"/>
        <w:jc w:val="both"/>
        <w:rPr/>
      </w:pPr>
      <w:r>
        <w:rPr/>
      </w:r>
    </w:p>
    <w:p>
      <w:pPr>
        <w:pStyle w:val="Normal"/>
        <w:keepNext w:val="true"/>
        <w:keepLines/>
        <w:jc w:val="both"/>
        <w:rPr>
          <w:b/>
          <w:u w:val="single"/>
        </w:rPr>
      </w:pPr>
      <w:r>
        <w:rPr>
          <w:b/>
          <w:u w:val="single"/>
        </w:rPr>
        <w:t>Texaco</w:t>
      </w:r>
    </w:p>
    <w:p>
      <w:pPr>
        <w:pStyle w:val="Normal"/>
        <w:jc w:val="both"/>
        <w:rPr>
          <w:b/>
          <w:u w:val="single"/>
        </w:rPr>
      </w:pPr>
      <w:r>
        <w:rPr>
          <w:b/>
          <w:u w:val="single"/>
        </w:rPr>
      </w:r>
    </w:p>
    <w:p>
      <w:pPr>
        <w:pStyle w:val="Normal"/>
        <w:jc w:val="both"/>
        <w:rPr/>
      </w:pPr>
      <w:r>
        <w:rPr/>
        <w:tab/>
        <w:t>1.</w:t>
        <w:tab/>
        <w:t>Certainty in scheduling and flow</w:t>
      </w:r>
    </w:p>
    <w:p>
      <w:pPr>
        <w:pStyle w:val="Normal"/>
        <w:jc w:val="both"/>
        <w:rPr/>
      </w:pPr>
      <w:r>
        <w:rPr/>
        <w:tab/>
        <w:t>2.</w:t>
        <w:tab/>
        <w:t>Avoidance of delay</w:t>
      </w:r>
    </w:p>
    <w:p>
      <w:pPr>
        <w:pStyle w:val="Normal"/>
        <w:jc w:val="both"/>
        <w:rPr/>
      </w:pPr>
      <w:r>
        <w:rPr/>
        <w:tab/>
        <w:t>3.</w:t>
        <w:tab/>
        <w:t>Unlimited pooling</w:t>
      </w:r>
    </w:p>
    <w:p>
      <w:pPr>
        <w:pStyle w:val="Normal"/>
        <w:jc w:val="both"/>
        <w:rPr/>
      </w:pPr>
      <w:r>
        <w:rPr/>
      </w:r>
    </w:p>
    <w:p>
      <w:pPr>
        <w:pStyle w:val="Normal"/>
        <w:keepNext w:val="true"/>
        <w:keepLines/>
        <w:jc w:val="both"/>
        <w:rPr>
          <w:b/>
          <w:u w:val="single"/>
        </w:rPr>
      </w:pPr>
      <w:r>
        <w:rPr>
          <w:b/>
          <w:u w:val="single"/>
        </w:rPr>
        <w:t>Williams Energy Marketing</w:t>
      </w:r>
    </w:p>
    <w:p>
      <w:pPr>
        <w:pStyle w:val="Normal"/>
        <w:keepNext w:val="true"/>
        <w:keepLines/>
        <w:jc w:val="both"/>
        <w:rPr>
          <w:b/>
          <w:u w:val="single"/>
        </w:rPr>
      </w:pPr>
      <w:r>
        <w:rPr>
          <w:b/>
          <w:u w:val="single"/>
        </w:rPr>
      </w:r>
    </w:p>
    <w:p>
      <w:pPr>
        <w:pStyle w:val="Normal"/>
        <w:jc w:val="both"/>
        <w:rPr/>
      </w:pPr>
      <w:r>
        <w:rPr/>
        <w:tab/>
        <w:t>1.</w:t>
        <w:tab/>
        <w:t>Certainty of flow</w:t>
      </w:r>
    </w:p>
    <w:p>
      <w:pPr>
        <w:pStyle w:val="Normal"/>
        <w:jc w:val="both"/>
        <w:rPr/>
      </w:pPr>
      <w:r>
        <w:rPr/>
        <w:tab/>
        <w:t>2.</w:t>
        <w:tab/>
        <w:t>Keep WEMT economically whole</w:t>
      </w:r>
    </w:p>
    <w:p>
      <w:pPr>
        <w:pStyle w:val="Normal"/>
        <w:jc w:val="both"/>
        <w:rPr/>
      </w:pPr>
      <w:r>
        <w:rPr/>
      </w:r>
    </w:p>
    <w:p>
      <w:pPr>
        <w:pStyle w:val="Normal"/>
        <w:jc w:val="center"/>
        <w:rPr/>
      </w:pPr>
      <w:r>
        <w:rPr/>
      </w:r>
      <w:r>
        <w:br w:type="page"/>
      </w:r>
    </w:p>
    <w:p>
      <w:pPr>
        <w:pStyle w:val="Normal"/>
        <w:jc w:val="center"/>
        <w:rPr>
          <w:b/>
          <w:u w:val="single"/>
        </w:rPr>
      </w:pPr>
      <w:r>
        <w:rPr>
          <w:b/>
          <w:u w:val="single"/>
        </w:rPr>
        <w:t>Compilation of Parties’ Business Objectives</w:t>
      </w:r>
    </w:p>
    <w:p>
      <w:pPr>
        <w:pStyle w:val="Normal"/>
        <w:jc w:val="center"/>
        <w:rPr>
          <w:b/>
          <w:u w:val="single"/>
        </w:rPr>
      </w:pPr>
      <w:r>
        <w:rPr>
          <w:b/>
          <w:u w:val="single"/>
        </w:rPr>
      </w:r>
    </w:p>
    <w:p>
      <w:pPr>
        <w:pStyle w:val="Normal"/>
        <w:jc w:val="both"/>
        <w:rPr>
          <w:b/>
          <w:u w:val="single"/>
        </w:rPr>
      </w:pPr>
      <w:r>
        <w:rPr>
          <w:b/>
          <w:u w:val="single"/>
        </w:rPr>
      </w:r>
    </w:p>
    <w:p>
      <w:pPr>
        <w:pStyle w:val="Normal"/>
        <w:tabs>
          <w:tab w:val="left" w:pos="720" w:leader="none"/>
        </w:tabs>
        <w:jc w:val="both"/>
        <w:rPr>
          <w:b/>
          <w:u w:val="single"/>
        </w:rPr>
      </w:pPr>
      <w:r>
        <w:rPr>
          <w:b/>
          <w:u w:val="single"/>
        </w:rPr>
        <w:t>Procedural Objectives</w:t>
      </w:r>
    </w:p>
    <w:p>
      <w:pPr>
        <w:pStyle w:val="Normal"/>
        <w:tabs>
          <w:tab w:val="left" w:pos="720" w:leader="none"/>
        </w:tabs>
        <w:jc w:val="both"/>
        <w:rPr>
          <w:b/>
          <w:u w:val="single"/>
        </w:rPr>
      </w:pPr>
      <w:r>
        <w:rPr>
          <w:b/>
          <w:u w:val="single"/>
        </w:rPr>
      </w:r>
    </w:p>
    <w:p>
      <w:pPr>
        <w:pStyle w:val="Normal"/>
        <w:tabs>
          <w:tab w:val="left" w:pos="720" w:leader="none"/>
        </w:tabs>
        <w:jc w:val="both"/>
        <w:rPr/>
      </w:pPr>
      <w:r>
        <w:rPr/>
        <w:t>1.</w:t>
        <w:tab/>
        <w:t>Uncontested settlement</w:t>
      </w:r>
    </w:p>
    <w:p>
      <w:pPr>
        <w:pStyle w:val="Normal"/>
        <w:tabs>
          <w:tab w:val="left" w:pos="720" w:leader="none"/>
        </w:tabs>
        <w:jc w:val="both"/>
        <w:rPr/>
      </w:pPr>
      <w:r>
        <w:rPr/>
      </w:r>
    </w:p>
    <w:p>
      <w:pPr>
        <w:pStyle w:val="Normal"/>
        <w:tabs>
          <w:tab w:val="left" w:pos="720" w:leader="none"/>
          <w:tab w:val="right" w:pos="8460" w:leader="none"/>
        </w:tabs>
        <w:jc w:val="both"/>
        <w:rPr/>
      </w:pPr>
      <w:r>
        <w:rPr/>
        <w:t>2.</w:t>
        <w:tab/>
        <w:t xml:space="preserve">Avoidance of delay </w:t>
      </w:r>
    </w:p>
    <w:p>
      <w:pPr>
        <w:pStyle w:val="Normal"/>
        <w:tabs>
          <w:tab w:val="left" w:pos="720" w:leader="none"/>
          <w:tab w:val="right" w:pos="8460" w:leader="none"/>
        </w:tabs>
        <w:jc w:val="both"/>
        <w:rPr/>
      </w:pPr>
      <w:r>
        <w:rPr/>
      </w:r>
    </w:p>
    <w:p>
      <w:pPr>
        <w:pStyle w:val="Normal"/>
        <w:tabs>
          <w:tab w:val="left" w:pos="720" w:leader="none"/>
          <w:tab w:val="right" w:pos="8460" w:leader="none"/>
        </w:tabs>
        <w:jc w:val="both"/>
        <w:rPr>
          <w:b/>
          <w:u w:val="single"/>
        </w:rPr>
      </w:pPr>
      <w:r>
        <w:rPr>
          <w:b/>
          <w:u w:val="single"/>
        </w:rPr>
        <w:t>Substantive Objectives</w:t>
      </w:r>
    </w:p>
    <w:p>
      <w:pPr>
        <w:pStyle w:val="Normal"/>
        <w:tabs>
          <w:tab w:val="left" w:pos="720" w:leader="none"/>
        </w:tabs>
        <w:jc w:val="both"/>
        <w:rPr/>
      </w:pPr>
      <w:r>
        <w:rPr/>
        <w:tab/>
      </w:r>
    </w:p>
    <w:p>
      <w:pPr>
        <w:pStyle w:val="Normal"/>
        <w:tabs>
          <w:tab w:val="left" w:pos="720" w:leader="none"/>
        </w:tabs>
        <w:jc w:val="both"/>
        <w:rPr/>
      </w:pPr>
      <w:r>
        <w:rPr/>
        <w:t>1.</w:t>
        <w:tab/>
        <w:t>Achieve certainty in scheduling and flow of gas</w:t>
      </w:r>
    </w:p>
    <w:p>
      <w:pPr>
        <w:pStyle w:val="Normal"/>
        <w:tabs>
          <w:tab w:val="left" w:pos="720" w:leader="none"/>
        </w:tabs>
        <w:jc w:val="both"/>
        <w:rPr/>
      </w:pPr>
      <w:r>
        <w:rPr/>
      </w:r>
    </w:p>
    <w:p>
      <w:pPr>
        <w:pStyle w:val="Normal"/>
        <w:tabs>
          <w:tab w:val="left" w:pos="720" w:leader="none"/>
        </w:tabs>
        <w:jc w:val="both"/>
        <w:rPr/>
      </w:pPr>
      <w:r>
        <w:rPr/>
        <w:tab/>
        <w:t>a.</w:t>
        <w:tab/>
        <w:t>Resolution of Topock delivery point issue</w:t>
      </w:r>
    </w:p>
    <w:p>
      <w:pPr>
        <w:pStyle w:val="Normal"/>
        <w:tabs>
          <w:tab w:val="left" w:pos="720" w:leader="none"/>
        </w:tabs>
        <w:jc w:val="both"/>
        <w:rPr/>
      </w:pPr>
      <w:r>
        <w:rPr/>
      </w:r>
    </w:p>
    <w:p>
      <w:pPr>
        <w:pStyle w:val="Normal"/>
        <w:tabs>
          <w:tab w:val="left" w:pos="720" w:leader="none"/>
        </w:tabs>
        <w:jc w:val="both"/>
        <w:rPr/>
      </w:pPr>
      <w:r>
        <w:rPr/>
        <w:tab/>
        <w:t>b.</w:t>
        <w:tab/>
        <w:t>Resolution of receipt point issue</w:t>
      </w:r>
    </w:p>
    <w:p>
      <w:pPr>
        <w:pStyle w:val="Normal"/>
        <w:tabs>
          <w:tab w:val="left" w:pos="720" w:leader="none"/>
        </w:tabs>
        <w:jc w:val="both"/>
        <w:rPr/>
      </w:pPr>
      <w:r>
        <w:rPr/>
      </w:r>
    </w:p>
    <w:p>
      <w:pPr>
        <w:pStyle w:val="Normal"/>
        <w:tabs>
          <w:tab w:val="left" w:pos="720" w:leader="none"/>
        </w:tabs>
        <w:jc w:val="both"/>
        <w:rPr/>
      </w:pPr>
      <w:r>
        <w:rPr/>
        <w:tab/>
        <w:t>c.</w:t>
        <w:tab/>
        <w:t>Resolution of Havasu problem or compensation of Havasu shippers</w:t>
      </w:r>
    </w:p>
    <w:p>
      <w:pPr>
        <w:pStyle w:val="Normal"/>
        <w:tabs>
          <w:tab w:val="left" w:pos="720" w:leader="none"/>
        </w:tabs>
        <w:jc w:val="both"/>
        <w:rPr/>
      </w:pPr>
      <w:r>
        <w:rPr/>
      </w:r>
    </w:p>
    <w:p>
      <w:pPr>
        <w:pStyle w:val="Normal"/>
        <w:tabs>
          <w:tab w:val="left" w:pos="720" w:leader="none"/>
        </w:tabs>
        <w:jc w:val="both"/>
        <w:rPr/>
      </w:pPr>
      <w:r>
        <w:rPr/>
        <w:t>2.</w:t>
        <w:tab/>
        <w:t>Preserve principles and economic value of 1996 Settlement</w:t>
      </w:r>
    </w:p>
    <w:p>
      <w:pPr>
        <w:pStyle w:val="Normal"/>
        <w:tabs>
          <w:tab w:val="left" w:pos="720" w:leader="none"/>
        </w:tabs>
        <w:jc w:val="both"/>
        <w:rPr/>
      </w:pPr>
      <w:r>
        <w:rPr/>
      </w:r>
    </w:p>
    <w:p>
      <w:pPr>
        <w:pStyle w:val="Normal"/>
        <w:tabs>
          <w:tab w:val="left" w:pos="720" w:leader="none"/>
        </w:tabs>
        <w:jc w:val="both"/>
        <w:rPr/>
      </w:pPr>
      <w:r>
        <w:rPr/>
        <w:tab/>
        <w:t>a.</w:t>
        <w:tab/>
        <w:t>Preserve the value of turned-back capacity</w:t>
      </w:r>
    </w:p>
    <w:p>
      <w:pPr>
        <w:pStyle w:val="Normal"/>
        <w:tabs>
          <w:tab w:val="left" w:pos="720" w:leader="none"/>
        </w:tabs>
        <w:jc w:val="both"/>
        <w:rPr/>
      </w:pPr>
      <w:r>
        <w:rPr/>
      </w:r>
    </w:p>
    <w:p>
      <w:pPr>
        <w:pStyle w:val="Normal"/>
        <w:tabs>
          <w:tab w:val="left" w:pos="720" w:leader="none"/>
        </w:tabs>
        <w:jc w:val="both"/>
        <w:rPr/>
      </w:pPr>
      <w:r>
        <w:rPr/>
        <w:tab/>
        <w:t>b.</w:t>
        <w:tab/>
        <w:t>Preserve full requirements service and ensure the sanctity of full</w:t>
      </w:r>
    </w:p>
    <w:p>
      <w:pPr>
        <w:pStyle w:val="Normal"/>
        <w:tabs>
          <w:tab w:val="left" w:pos="720" w:leader="none"/>
        </w:tabs>
        <w:jc w:val="both"/>
        <w:rPr/>
      </w:pPr>
      <w:r>
        <w:rPr/>
        <w:tab/>
        <w:tab/>
        <w:t>requirements service agreements</w:t>
      </w:r>
    </w:p>
    <w:p>
      <w:pPr>
        <w:pStyle w:val="Normal"/>
        <w:tabs>
          <w:tab w:val="left" w:pos="720" w:leader="none"/>
        </w:tabs>
        <w:jc w:val="both"/>
        <w:rPr/>
      </w:pPr>
      <w:r>
        <w:rPr/>
      </w:r>
    </w:p>
    <w:p>
      <w:pPr>
        <w:pStyle w:val="Normal"/>
        <w:tabs>
          <w:tab w:val="left" w:pos="720" w:leader="none"/>
        </w:tabs>
        <w:jc w:val="both"/>
        <w:rPr/>
      </w:pPr>
      <w:r>
        <w:rPr/>
        <w:tab/>
        <w:t>c.</w:t>
        <w:tab/>
        <w:t>Preserve Block II rights</w:t>
      </w:r>
    </w:p>
    <w:p>
      <w:pPr>
        <w:pStyle w:val="Normal"/>
        <w:tabs>
          <w:tab w:val="left" w:pos="720" w:leader="none"/>
        </w:tabs>
        <w:jc w:val="both"/>
        <w:rPr/>
      </w:pPr>
      <w:r>
        <w:rPr/>
      </w:r>
    </w:p>
    <w:p>
      <w:pPr>
        <w:pStyle w:val="Normal"/>
        <w:tabs>
          <w:tab w:val="left" w:pos="720" w:leader="none"/>
        </w:tabs>
        <w:jc w:val="both"/>
        <w:rPr/>
      </w:pPr>
      <w:r>
        <w:rPr/>
        <w:tab/>
        <w:t>d.</w:t>
        <w:tab/>
        <w:t>Resolve issue of cost responsibility for fuel used in refunctionalized</w:t>
      </w:r>
    </w:p>
    <w:p>
      <w:pPr>
        <w:pStyle w:val="Normal"/>
        <w:tabs>
          <w:tab w:val="left" w:pos="720" w:leader="none"/>
        </w:tabs>
        <w:jc w:val="both"/>
        <w:rPr/>
      </w:pPr>
      <w:r>
        <w:rPr/>
        <w:tab/>
        <w:tab/>
        <w:t>Blanco and Chaco compressors</w:t>
      </w:r>
    </w:p>
    <w:p>
      <w:pPr>
        <w:pStyle w:val="Normal"/>
        <w:tabs>
          <w:tab w:val="left" w:pos="720" w:leader="none"/>
        </w:tabs>
        <w:jc w:val="both"/>
        <w:rPr/>
      </w:pPr>
      <w:r>
        <w:rPr/>
      </w:r>
    </w:p>
    <w:p>
      <w:pPr>
        <w:pStyle w:val="Normal"/>
        <w:tabs>
          <w:tab w:val="left" w:pos="720" w:leader="none"/>
        </w:tabs>
        <w:jc w:val="both"/>
        <w:rPr/>
      </w:pPr>
      <w:r>
        <w:rPr/>
        <w:t>3.</w:t>
        <w:tab/>
        <w:t xml:space="preserve">Provide for GISB-compliant unlimited pooling </w:t>
      </w:r>
    </w:p>
    <w:p>
      <w:pPr>
        <w:pStyle w:val="Normal"/>
        <w:tabs>
          <w:tab w:val="left" w:pos="720" w:leader="none"/>
        </w:tabs>
        <w:jc w:val="both"/>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PRIVILEGED AND CONFIDENTIAL</w:t>
    </w:r>
  </w:p>
  <w:p>
    <w:pPr>
      <w:pStyle w:val="Header"/>
      <w:jc w:val="center"/>
      <w:rPr>
        <w:b/>
      </w:rPr>
    </w:pPr>
    <w:r>
      <w:rPr>
        <w:b/>
      </w:rPr>
    </w:r>
  </w:p>
  <w:p>
    <w:pPr>
      <w:pStyle w:val="Header"/>
      <w:jc w:val="center"/>
      <w:rPr>
        <w:b/>
      </w:rPr>
    </w:pPr>
    <w:r>
      <w:rPr>
        <w:b/>
      </w:rPr>
      <w:t>Amoco Energy Trading Corp., et al., v. El Paso Natural Gas Co.</w:t>
    </w:r>
  </w:p>
  <w:p>
    <w:pPr>
      <w:pStyle w:val="Header"/>
      <w:jc w:val="center"/>
      <w:rPr>
        <w:b/>
      </w:rPr>
    </w:pPr>
    <w:r>
      <w:rPr>
        <w:b/>
      </w:rPr>
      <w:t>Docket No. RP99-507-000</w:t>
    </w:r>
  </w:p>
  <w:p>
    <w:pPr>
      <w:pStyle w:val="Header"/>
      <w:jc w:val="center"/>
      <w:rPr>
        <w:b/>
      </w:rPr>
    </w:pPr>
    <w:r>
      <w:rPr>
        <w:b/>
      </w:rPr>
    </w:r>
  </w:p>
  <w:p>
    <w:pPr>
      <w:pStyle w:val="Header"/>
      <w:jc w:val="cent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PRIVILEGED AND CONFIDENTIAL</w:t>
    </w:r>
  </w:p>
  <w:p>
    <w:pPr>
      <w:pStyle w:val="Header"/>
      <w:jc w:val="center"/>
      <w:rPr>
        <w:b/>
      </w:rPr>
    </w:pPr>
    <w:r>
      <w:rPr>
        <w:b/>
      </w:rPr>
    </w:r>
  </w:p>
  <w:p>
    <w:pPr>
      <w:pStyle w:val="Header"/>
      <w:jc w:val="center"/>
      <w:rPr>
        <w:b/>
      </w:rPr>
    </w:pPr>
    <w:r>
      <w:rPr>
        <w:b/>
      </w:rPr>
      <w:t>Amoco Energy Trading Corp., et al., v. El Paso Natural Gas Co.</w:t>
    </w:r>
  </w:p>
  <w:p>
    <w:pPr>
      <w:pStyle w:val="Header"/>
      <w:jc w:val="center"/>
      <w:rPr>
        <w:b/>
      </w:rPr>
    </w:pPr>
    <w:r>
      <w:rPr>
        <w:b/>
      </w:rPr>
      <w:t>Docket No. RP99-507-000</w:t>
    </w:r>
  </w:p>
  <w:p>
    <w:pPr>
      <w:pStyle w:val="Header"/>
      <w:jc w:val="center"/>
      <w:rPr>
        <w:b/>
      </w:rPr>
    </w:pPr>
    <w:r>
      <w:rPr>
        <w:b/>
      </w:rPr>
    </w:r>
  </w:p>
  <w:p>
    <w:pPr>
      <w:pStyle w:val="Header"/>
      <w:rPr>
        <w:b/>
      </w:rPr>
    </w:pPr>
    <w:r>
      <w:rPr>
        <w:b/>
      </w:rPr>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tabs>
        <w:tab w:val="clear" w:pos="720"/>
        <w:tab w:val="left" w:pos="432" w:leader="none"/>
      </w:tabs>
      <w:spacing w:before="0" w:after="120"/>
      <w:ind w:hanging="432" w:start="432"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2000-05-17T15:41:00Z</dcterms:created>
  <dc:creator>Preferred Customer</dc:creator>
  <dc:description/>
  <dc:language>en-CA</dc:language>
  <cp:lastModifiedBy>RICHARD L DERRYBERRY</cp:lastModifiedBy>
  <cp:lastPrinted>2000-05-22T15:02:00Z</cp:lastPrinted>
  <dcterms:modified xsi:type="dcterms:W3CDTF">2000-05-22T18:34:00Z</dcterms:modified>
  <cp:revision>8</cp:revision>
  <dc:subject/>
  <dc:title>PRIVILEGED AND CONFIDENTIAL</dc:title>
</cp:coreProperties>
</file>