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37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720"/>
        <w:gridCol w:w="3104"/>
        <w:gridCol w:w="911"/>
        <w:gridCol w:w="1267"/>
        <w:gridCol w:w="1288"/>
        <w:gridCol w:w="4410"/>
        <w:gridCol w:w="1080"/>
      </w:tblGrid>
      <w:tr>
        <w:trPr>
          <w:tblHeader w:val="true"/>
        </w:trPr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Process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rPr>
                <w:b/>
              </w:rPr>
            </w:pPr>
            <w:r>
              <w:rPr>
                <w:b/>
              </w:rPr>
              <w:t>Risk No.</w:t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 xml:space="preserve">Andersen Specific Risk Objective 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Risk Type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Primary/ Secondary Risks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rPr>
                <w:b/>
              </w:rPr>
            </w:pPr>
            <w:r>
              <w:rPr>
                <w:b/>
              </w:rPr>
              <w:t>Risk Owner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Controls (Monitoring, Preventative, Pervasive)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(key)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120" w:after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Is the risk mitigated?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</w:rPr>
              <w:t>(1 Yes – 5 No)</w:t>
            </w:r>
          </w:p>
        </w:tc>
      </w:tr>
      <w:tr>
        <w:trPr/>
        <w:tc>
          <w:tcPr>
            <w:tcW w:w="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Trading</w:t>
            </w:r>
          </w:p>
          <w:p>
            <w:pPr>
              <w:pStyle w:val="Normal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(UK and Continental)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  <w:lang w:val="en-CA" w:eastAsia="en-CA"/>
              </w:rPr>
            </w:pPr>
            <w:r>
              <w:rPr>
                <w:kern w:val="0"/>
                <w:lang w:val="en-CA" w:eastAsia="en-CA"/>
              </w:rPr>
              <w:t>Transactions are undertaken by unauthorised personnel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RAC approve all new traders (Pervasive)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Central list of authorised traders kept by RAC (Pervasive)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Review of incoming confirms and broker statements (Monitoring)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GCP system is centrally updated with </w:t>
            </w:r>
            <w:r>
              <w:rPr>
                <w:sz w:val="20"/>
              </w:rPr>
              <w:t>authorised list and this system feeds the deal entry system - GasDesk/Enpower (Preventative)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All new trades are entered into the system with a trader name as a required field (Preventative)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Traders phones are taped (Monitoring)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kern w:val="0"/>
                <w:sz w:val="20"/>
              </w:rPr>
            </w:pPr>
            <w:r>
              <w:rPr>
                <w:i/>
                <w:kern w:val="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i/>
                <w:i/>
                <w:lang w:val="en-CA" w:eastAsia="en-CA"/>
              </w:rPr>
            </w:pPr>
            <w:r>
              <w:rPr/>
              <w:t>Transactions are entered into without appropriate supporting legal documentation.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All EOL trades have GTC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(Preventative)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Master Agreements in place with some counterparties (Preventative)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Majority of OTC trading executed under NBP GTC, Zeebrugge GTC or EFET Master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(Preventative)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>All non-vanilla deals require a legal contract and legal review of the need for CACs/DASH sign off (Preventative)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Transactions are entered into with unauthorised counterparties.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spacing w:before="120" w:after="120"/>
              <w:rPr>
                <w:sz w:val="20"/>
              </w:rPr>
            </w:pPr>
            <w:r>
              <w:rPr>
                <w:color w:val="000000"/>
                <w:sz w:val="20"/>
              </w:rPr>
              <w:t>These controls are being implemented for 1 Oct 01 and the new policy will be communicated to all commercial teams.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/>
            </w:pPr>
            <w:r>
              <w:rPr/>
              <w:t xml:space="preserve">Transactions are entered into with counterparties where insufficient credit is available – </w:t>
            </w:r>
            <w:r>
              <w:rPr>
                <w:kern w:val="0"/>
              </w:rPr>
              <w:t>default risk/provisioning (covering both EOL &amp; Non-EOL transactions).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EOL is system based (Preventative &amp; Persuasive)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>Non-vanilla deals that require new contracts have a credit sign off on the CACs or DASH form (Preventative &amp; Pervasive)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Credit Risk department calculate a limit per customer and report daily on any exceptions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(Monitoring)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/>
            </w:pPr>
            <w:r>
              <w:rPr/>
              <w:t xml:space="preserve">Traders enter into transactions that are not aligned with the Board’s risk appetite – that exceed authorised risk limits.  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DPRs include positions compared to the limit structure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(Monitoring)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Limit structure is authorised by the “Board” (Pervasive)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 xml:space="preserve">Violations against limits are documented, signed off by head of risk and head of trading desk and sent to Senior Management </w:t>
            </w:r>
            <w:r>
              <w:rPr>
                <w:b/>
                <w:bCs/>
                <w:sz w:val="20"/>
              </w:rPr>
              <w:t>(key)</w:t>
            </w:r>
            <w:r>
              <w:rPr>
                <w:sz w:val="20"/>
              </w:rPr>
              <w:t xml:space="preserve"> (Monitoring)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7766" w:hRule="atLeast"/>
        </w:trPr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/>
            </w:pPr>
            <w:r>
              <w:rPr/>
              <w:t>Trade details captured are incomplete, inaccurate, untimely or not captured at all including: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/>
              <w:t>Capacity trades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/>
              <w:t>Exercised options</w:t>
            </w:r>
            <w:r>
              <w:rPr>
                <w:kern w:val="0"/>
              </w:rPr>
              <w:t xml:space="preserve"> 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/>
              <w:t>Structured book hedges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/>
              <w:t>Enron Direct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/>
            </w:pPr>
            <w:r>
              <w:rPr/>
              <w:t>Option premiums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/>
            </w:pPr>
            <w:r>
              <w:rPr/>
              <w:t>Profiling of swing</w:t>
            </w:r>
          </w:p>
          <w:p>
            <w:pPr>
              <w:pStyle w:val="MacroText"/>
              <w:numPr>
                <w:ilvl w:val="0"/>
                <w:numId w:val="2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/>
            </w:pPr>
            <w:r>
              <w:rPr/>
              <w:t>Application of correct legal entity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/>
            </w:pPr>
            <w:r>
              <w:rPr/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/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The legal entity is a required field for all new deals (Preventative)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All “sell” deals are automatically confirmed (within 3(?) days)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 xml:space="preserve">There is a full reconciliation between incoming confirms and systems </w:t>
            </w:r>
            <w:r>
              <w:rPr>
                <w:b/>
                <w:bCs/>
                <w:sz w:val="18"/>
              </w:rPr>
              <w:t>(Key)</w:t>
            </w:r>
            <w:r>
              <w:rPr>
                <w:sz w:val="18"/>
              </w:rPr>
              <w:t xml:space="preserve">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Master agreements override majority of OTC trades (Pervasive)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 xml:space="preserve">EOL STP for 50% of trades </w:t>
            </w:r>
            <w:r>
              <w:rPr>
                <w:b/>
                <w:bCs/>
                <w:sz w:val="18"/>
              </w:rPr>
              <w:t xml:space="preserve">(key) </w:t>
            </w:r>
            <w:r>
              <w:rPr>
                <w:sz w:val="18"/>
              </w:rPr>
              <w:t>(Preventative &amp; Pervasive)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Most deals involve physical flows and daily balancing with counterparties and infrastructure (Preventative)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Brokered deals are reconciled each day to broker statements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 xml:space="preserve">Non-vanilla/Structured deals are subject to Booking memos/Structured trade reviews </w:t>
            </w:r>
            <w:r>
              <w:rPr>
                <w:b/>
                <w:bCs/>
                <w:sz w:val="18"/>
              </w:rPr>
              <w:t xml:space="preserve">(key) </w:t>
            </w:r>
            <w:r>
              <w:rPr>
                <w:sz w:val="18"/>
              </w:rPr>
              <w:t>(Monitoring &amp; Pervasive)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New deals sheet in DPR is signed off by traders (T+1)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Large PL or Positions on new deals are verified with traders on (T+1)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Storage and Swing are monitored against contract details by logistics, risk and contract management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Options are updated for “exercise/not taken” using system functionality by traders and documentation (Preventative)</w:t>
            </w:r>
          </w:p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>
                <w:sz w:val="18"/>
              </w:rPr>
              <w:t>Financial control produce legal entity balance sheets (Monitoring)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sz w:val="18"/>
              </w:rPr>
              <w:t>All trader telephone calls are taped (Pervasive)</w:t>
            </w:r>
          </w:p>
          <w:p>
            <w:pPr>
              <w:pStyle w:val="Normal"/>
              <w:ind w:start="36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kern w:val="2"/>
                <w:sz w:val="20"/>
              </w:rPr>
            </w:pPr>
            <w:r>
              <w:rPr>
                <w:i/>
                <w:kern w:val="2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/>
            </w:pPr>
            <w:r>
              <w:rPr/>
              <w:t>Price / volatility curves (liquid/mid portion) are not marked using independent market data / intelligence.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Risk perform a daily review of new deal PL and discuss large origination with traders (Monitoring)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In accordance with the risk policy, risk are mandated to perform a monthly curve validation using independent market data or recalculating market parameters (eg. Implied volatility) and report to Senior Management, RAC &amp; external auditors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(Pervasive)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>Ad-hoc risk review of unusual curve movements (Monitoring)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Assumptions and inputs used to construct the long end of the NBP curve and the whole of the Station Gate curve are not reasonable or supportable.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In accordance with the risk policy, risk are mandated to perform a quarterly review of long end parameters and curves and report to Senior Management and RAC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(Pervasive)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>Ad-hoc risk review of unusual curve movements (Monitoring)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>Regular meetings (both formal &amp; informal) are held with Structuring &amp; Commerical to discuss the long end of the curve (Specific)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Traders have the ability to amend trades after they have been confirmed.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Audit 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Simon Hastings, Paul Mead, Gregor Baumerich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The editing of core deal data (such as price, volume) will cause a deal to be re-sent to the confirmation system authomatically </w:t>
            </w:r>
            <w:r>
              <w:rPr>
                <w:b/>
                <w:bCs/>
                <w:color w:val="000000"/>
                <w:sz w:val="20"/>
              </w:rPr>
              <w:t xml:space="preserve">(key) </w:t>
            </w:r>
            <w:r>
              <w:rPr>
                <w:color w:val="000000"/>
                <w:sz w:val="20"/>
              </w:rPr>
              <w:t>(Pervasive)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PL and Position changes caused by editing of deals will come through the DPR as amended or deleted deals </w:t>
            </w:r>
            <w:r>
              <w:rPr>
                <w:b/>
                <w:bCs/>
                <w:color w:val="000000"/>
                <w:sz w:val="20"/>
              </w:rPr>
              <w:t xml:space="preserve">(key) </w:t>
            </w:r>
            <w:r>
              <w:rPr>
                <w:color w:val="000000"/>
                <w:sz w:val="20"/>
              </w:rPr>
              <w:t>(Monitoring)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data transfer between Enron Online and EnPower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Market Tracker system becomes unavailable, ceasing all and/or significant downtime to trading functions.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Availability/ Infrastructure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underlying data within the Market Tracker system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EnPower system becomes unavailable, ceasing all and/or significant downtime to trading functions.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Availability/ Infrastructure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data transfer between Market Tracker and EnPower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8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NETA Database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</w:tr>
      <w:tr>
        <w:trPr/>
        <w:tc>
          <w:tcPr>
            <w:tcW w:w="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Documentation</w:t>
            </w:r>
          </w:p>
          <w:p>
            <w:pPr>
              <w:pStyle w:val="Heading8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</w:rPr>
              <w:t>(UK and Continental)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Enron confirmation details are incomplete.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Anna McAndrew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>Gail Hill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All trades bridge from risk system to Autoconfirms system (P).  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brokered deals are reconciled to broker confirms (S)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Any incoming counterparty confirms are reconciled back to the risk system (S)</w:t>
            </w:r>
          </w:p>
          <w:p>
            <w:pPr>
              <w:pStyle w:val="MacroText"/>
              <w:numPr>
                <w:ilvl w:val="0"/>
                <w:numId w:val="2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Non standard trades using non standard language are sent through to Legal for review and approval (S).  </w:t>
            </w:r>
          </w:p>
          <w:p>
            <w:pPr>
              <w:pStyle w:val="MacroText"/>
              <w:numPr>
                <w:ilvl w:val="0"/>
                <w:numId w:val="2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>
                <w:rFonts w:cs="Arial" w:ascii="Arial" w:hAnsi="Arial"/>
                <w:sz w:val="18"/>
              </w:rPr>
              <w:t>Key documentation personnel are also assigned to review / approve confirms (M)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spacing w:before="120" w:after="120"/>
              <w:rPr>
                <w:color w:val="FF0000"/>
                <w:kern w:val="0"/>
              </w:rPr>
            </w:pPr>
            <w:r>
              <w:rPr>
                <w:color w:val="FF0000"/>
                <w:kern w:val="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color w:val="FF0000"/>
                <w:kern w:val="2"/>
                <w:sz w:val="22"/>
              </w:rPr>
            </w:pPr>
            <w:r>
              <w:rPr>
                <w:color w:val="FF0000"/>
                <w:kern w:val="2"/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Enron confirmation details are inaccurate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Audit 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Anna McAndrew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>Gail Hill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37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All trades bridge from risk system to Autoconfirms system (P).  </w:t>
            </w:r>
          </w:p>
          <w:p>
            <w:pPr>
              <w:pStyle w:val="Normal"/>
              <w:numPr>
                <w:ilvl w:val="0"/>
                <w:numId w:val="37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brokered deals are reconciled to broker confirms (S)</w:t>
            </w:r>
          </w:p>
          <w:p>
            <w:pPr>
              <w:pStyle w:val="Normal"/>
              <w:numPr>
                <w:ilvl w:val="0"/>
                <w:numId w:val="37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Any incoming counterparty confirms are reconciled back to the risk system (S)</w:t>
            </w:r>
          </w:p>
          <w:p>
            <w:pPr>
              <w:pStyle w:val="MacroText"/>
              <w:numPr>
                <w:ilvl w:val="0"/>
                <w:numId w:val="37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rFonts w:cs="Arial" w:ascii="Arial" w:hAnsi="Arial"/>
                <w:sz w:val="18"/>
              </w:rPr>
              <w:t>Confirm templates are selected automatically by Autoconfirms based on counterparty and trade details (P).  All templates are pre-approved by legal (P).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spacing w:before="120" w:after="120"/>
              <w:rPr>
                <w:color w:val="FF0000"/>
                <w:kern w:val="0"/>
              </w:rPr>
            </w:pPr>
            <w:r>
              <w:rPr>
                <w:color w:val="FF0000"/>
                <w:kern w:val="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color w:val="FF0000"/>
                <w:kern w:val="2"/>
                <w:sz w:val="22"/>
              </w:rPr>
            </w:pPr>
            <w:r>
              <w:rPr>
                <w:color w:val="FF0000"/>
                <w:kern w:val="2"/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lang w:val="en-CA" w:eastAsia="en-CA"/>
              </w:rPr>
              <w:t>Enron confirmation details are untimely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Anna McAndrew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>Gail Hill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Enron confirms created and sent by cob t+1 (P).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Exceptions to the above are reported to management (M).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spacing w:before="120" w:after="120"/>
              <w:rPr>
                <w:rFonts w:ascii="Arial" w:hAnsi="Arial" w:cs="Arial"/>
                <w:color w:val="FF0000"/>
                <w:kern w:val="0"/>
                <w:sz w:val="18"/>
              </w:rPr>
            </w:pPr>
            <w:r>
              <w:rPr>
                <w:rFonts w:cs="Arial" w:ascii="Arial" w:hAnsi="Arial"/>
                <w:color w:val="FF0000"/>
                <w:kern w:val="0"/>
                <w:sz w:val="18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color w:val="FF0000"/>
                <w:kern w:val="2"/>
                <w:sz w:val="22"/>
              </w:rPr>
            </w:pPr>
            <w:r>
              <w:rPr>
                <w:color w:val="FF0000"/>
                <w:kern w:val="2"/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Enron agree/sign confirmations received from counterparties which do not match the trade details.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Anna McAndrew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>Gail Hill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Any incoming counterparty confirms are reconciled back to the risk system (S).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spacing w:before="120" w:after="120"/>
              <w:rPr>
                <w:rFonts w:ascii="Arial" w:hAnsi="Arial" w:cs="Arial"/>
                <w:color w:val="FF0000"/>
                <w:kern w:val="0"/>
                <w:sz w:val="18"/>
              </w:rPr>
            </w:pPr>
            <w:r>
              <w:rPr>
                <w:rFonts w:cs="Arial" w:ascii="Arial" w:hAnsi="Arial"/>
                <w:color w:val="FF0000"/>
                <w:kern w:val="0"/>
                <w:sz w:val="18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color w:val="FF0000"/>
                <w:kern w:val="2"/>
                <w:sz w:val="22"/>
              </w:rPr>
            </w:pPr>
            <w:r>
              <w:rPr>
                <w:color w:val="FF0000"/>
                <w:kern w:val="2"/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lang w:val="en-CA" w:eastAsia="en-CA"/>
              </w:rPr>
              <w:t>Changes made to trades go undetected and/or unconfirmed.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Anna McAndrew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>Gail Hill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Changes made in the risk management system feed automatically back into Autoconfirms and an amended confirmation is issued.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napToGrid w:val="false"/>
              <w:spacing w:before="120" w:after="120"/>
              <w:rPr>
                <w:rFonts w:ascii="Arial" w:hAnsi="Arial" w:cs="Arial"/>
                <w:color w:val="FF0000"/>
                <w:kern w:val="0"/>
                <w:sz w:val="18"/>
              </w:rPr>
            </w:pPr>
            <w:r>
              <w:rPr>
                <w:rFonts w:cs="Arial" w:ascii="Arial" w:hAnsi="Arial"/>
                <w:color w:val="FF0000"/>
                <w:kern w:val="0"/>
                <w:sz w:val="18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color w:val="FF0000"/>
                <w:kern w:val="2"/>
                <w:sz w:val="22"/>
              </w:rPr>
            </w:pPr>
            <w:r>
              <w:rPr>
                <w:color w:val="FF0000"/>
                <w:kern w:val="2"/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Option exercise procedures are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Anna McAndrew</w:t>
            </w:r>
          </w:p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>Gail Hill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option confirms generated and issued by cob t+1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non-EOL option details are verbally confirmed with counterparties.  EOL deals are ‘as clicked’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 daily report is run in EnPower to identify options to be exercised and these are communicated to traders on a spreadsheet.  Option exercise notifications distributed following verbal exercise by Commercial.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AutoConfirms System becomes unavailable, ceasing all and/or significant downtime to documentation functions.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Availability/ Infrastructure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data transfer between EnPower and AutoConfirms is incomplete, inaccurate and 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LOM and AutoConfirms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Global Contracts and AutoConfirms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AutoConfirms system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AutoConfirms and FacSys is not complete and/or accurate and/or 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numPr>
                <w:ilvl w:val="0"/>
                <w:numId w:val="0"/>
              </w:numPr>
              <w:snapToGrid w:val="false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LiveLink and AutoConfirms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Risk Management</w:t>
            </w:r>
          </w:p>
          <w:p>
            <w:pPr>
              <w:pStyle w:val="Normal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(UK &amp; Continental)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lang w:val="en-CA" w:eastAsia="en-CA"/>
              </w:rPr>
            </w:pPr>
            <w:r>
              <w:rPr/>
              <w:t>Inaccurate, incomplete and/or untimely accrual of imbalance charges.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Coralie Evans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120" w:after="120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Daily review of DPR and sign off by risk management and traders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(Preventative &amp; Pervasive)</w:t>
            </w:r>
          </w:p>
          <w:p>
            <w:pPr>
              <w:pStyle w:val="Normal"/>
              <w:numPr>
                <w:ilvl w:val="0"/>
                <w:numId w:val="13"/>
              </w:numPr>
              <w:spacing w:before="120" w:after="120"/>
              <w:rPr>
                <w:sz w:val="20"/>
              </w:rPr>
            </w:pPr>
            <w:r>
              <w:rPr>
                <w:color w:val="000000"/>
                <w:sz w:val="20"/>
              </w:rPr>
              <w:t>All payments relating to imbalance payments are in response to third party invoices (Pervasive)</w:t>
            </w:r>
          </w:p>
          <w:p>
            <w:pPr>
              <w:pStyle w:val="Normal"/>
              <w:numPr>
                <w:ilvl w:val="0"/>
                <w:numId w:val="13"/>
              </w:numPr>
              <w:spacing w:before="120" w:after="120"/>
              <w:rPr>
                <w:sz w:val="20"/>
              </w:rPr>
            </w:pPr>
            <w:r>
              <w:rPr>
                <w:color w:val="000000"/>
                <w:sz w:val="20"/>
              </w:rPr>
              <w:t>Any accruals for imbalance payments are calculated by an independent commercial function (Monitoring)</w:t>
            </w:r>
          </w:p>
          <w:p>
            <w:pPr>
              <w:pStyle w:val="Normal"/>
              <w:numPr>
                <w:ilvl w:val="0"/>
                <w:numId w:val="13"/>
              </w:numPr>
              <w:spacing w:before="120" w:after="120"/>
              <w:rPr>
                <w:sz w:val="20"/>
              </w:rPr>
            </w:pPr>
            <w:r>
              <w:rPr>
                <w:color w:val="000000"/>
                <w:sz w:val="20"/>
              </w:rPr>
              <w:t>Risk management review and reconcile the payments and accruals above (Specific)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>
                <w:lang w:val="en-CA" w:eastAsia="en-CA"/>
              </w:rPr>
              <w:t>Manual adjustments / inputs into the DPR are not complete, accurate, timely, supportable or appropriately authorized (e.g. FX, Rho, PMA).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Coralie Evans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numPr>
                <w:ilvl w:val="0"/>
                <w:numId w:val="20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Daily review of DPR and sign off by risk management and traders </w:t>
            </w:r>
            <w:r>
              <w:rPr>
                <w:b/>
                <w:bCs/>
                <w:color w:val="000000"/>
                <w:kern w:val="0"/>
              </w:rPr>
              <w:t>(key)</w:t>
            </w:r>
            <w:r>
              <w:rPr>
                <w:color w:val="000000"/>
                <w:kern w:val="0"/>
              </w:rPr>
              <w:t xml:space="preserve"> (Preventative &amp; Pervaise)</w:t>
            </w:r>
          </w:p>
          <w:p>
            <w:pPr>
              <w:pStyle w:val="MacroText"/>
              <w:numPr>
                <w:ilvl w:val="0"/>
                <w:numId w:val="20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Valuation adjustments (where we are price takers) are fed from approved models (Swing/Hydro) or source systems (Infinity/Tagg/RisktRAC) (Preventative, Specific)</w:t>
            </w:r>
          </w:p>
          <w:p>
            <w:pPr>
              <w:pStyle w:val="MacroText"/>
              <w:numPr>
                <w:ilvl w:val="0"/>
                <w:numId w:val="20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Interbook balances do not agree.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Coralie Evans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numPr>
                <w:ilvl w:val="0"/>
                <w:numId w:val="3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Deal entry controls (within commodity) – only one side can book interbook deals (Pervasive)</w:t>
            </w:r>
          </w:p>
          <w:p>
            <w:pPr>
              <w:pStyle w:val="MacroText"/>
              <w:numPr>
                <w:ilvl w:val="0"/>
                <w:numId w:val="3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Daily ad-hoc risk review of PL &amp; Positions between books and new deals (Monitoring)</w:t>
            </w:r>
          </w:p>
          <w:p>
            <w:pPr>
              <w:pStyle w:val="MacroText"/>
              <w:numPr>
                <w:ilvl w:val="0"/>
                <w:numId w:val="3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Monthly risk and financial control reconciliation for “Forward” and “Realised” </w:t>
            </w:r>
            <w:r>
              <w:rPr>
                <w:b/>
                <w:bCs/>
                <w:color w:val="000000"/>
                <w:kern w:val="0"/>
              </w:rPr>
              <w:t>(key)</w:t>
            </w:r>
            <w:r>
              <w:rPr>
                <w:color w:val="000000"/>
                <w:kern w:val="0"/>
              </w:rPr>
              <w:t xml:space="preserve"> (Monitoring)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Limits and VaR, including daily and cumulative 5-day losses, NOP and  Maturity Gap are not calculated and monitored daily as described in the ECRMP.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 / Compliance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Coralie Evans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DPRs include positions compared to the limit structure </w:t>
            </w:r>
            <w:r>
              <w:rPr>
                <w:b/>
                <w:bCs/>
                <w:color w:val="000000"/>
                <w:sz w:val="20"/>
              </w:rPr>
              <w:t>(key)</w:t>
            </w:r>
            <w:r>
              <w:rPr>
                <w:color w:val="000000"/>
                <w:sz w:val="20"/>
              </w:rPr>
              <w:t xml:space="preserve"> (Monitoring)</w:t>
            </w:r>
          </w:p>
          <w:p>
            <w:pPr>
              <w:pStyle w:val="MacroText"/>
              <w:numPr>
                <w:ilvl w:val="0"/>
                <w:numId w:val="3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</w:rPr>
              <w:t xml:space="preserve">Violations against limits are documented, signed off by head of risk and head of trading desk and sent to Senior Management </w:t>
            </w:r>
            <w:r>
              <w:rPr>
                <w:b/>
                <w:bCs/>
                <w:color w:val="000000"/>
              </w:rPr>
              <w:t>(key)</w:t>
            </w:r>
            <w:r>
              <w:rPr>
                <w:color w:val="000000"/>
              </w:rPr>
              <w:t xml:space="preserve"> (Monitoring)</w:t>
            </w:r>
          </w:p>
          <w:p>
            <w:pPr>
              <w:pStyle w:val="MacroText"/>
              <w:numPr>
                <w:ilvl w:val="0"/>
                <w:numId w:val="35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color w:val="000000"/>
                <w:kern w:val="0"/>
              </w:rPr>
            </w:pPr>
            <w:r>
              <w:rPr>
                <w:color w:val="000000"/>
              </w:rPr>
              <w:t>Independent RAC review of compliance (Pervasive)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color w:val="000000"/>
                <w:kern w:val="0"/>
                <w:sz w:val="20"/>
              </w:rPr>
            </w:pPr>
            <w:r>
              <w:rPr>
                <w:i/>
                <w:color w:val="000000"/>
                <w:kern w:val="0"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The data transfer between EnPower and the Daily Position Report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kern w:val="0"/>
              </w:rPr>
            </w:pPr>
            <w:r>
              <w:rPr>
                <w:kern w:val="0"/>
              </w:rPr>
              <w:t>The underlying data within the Daily Position Report spreadsheet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The underlying data within the Price/Volatility curve spreadsheets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Price/volatility curves are inaccurately, incompletely and/or untimely imported into EnPower.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The calculation within the DOVE valuation engine is incomplete and/or untimely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spacing w:before="12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Settlements</w:t>
            </w:r>
          </w:p>
          <w:p>
            <w:pPr>
              <w:pStyle w:val="Normal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(UK &amp; Continental)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Invoices received from third parties are not appropriately validated by Enron data prior to payment.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Anna McAndrew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Gill Denham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All incoming invoices are manually reconciled to the credit note created in BOSS (S). Any discrepancies leads to a further reconciliation back to EnPower data (S). 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Any valid deals / payments not correctly recorded in Enron systems are signed off by a settlements supervisor and Risk / Commercial before payment (S).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Key personnel are assigned Supervisor status to check and approve LOM logs before release for payment (Snr Spec and above) (P) &amp; (M)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Creation of all invoices/credit notes (manual and system based) is inaccurate, including duplication of invoices.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Anna McAndrew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Gill Denham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created invoices are reconciled back to the FO volume and price data through the manual CARP/DOVE file reconciliation prior to invoice distribution (S).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created credit notes are reconciled to incoming invoices for volume and price (and to EnPower if discrepancies are found – see 1a) &amp; 1b) above) (S).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manually created invoices are Supervisor approved (P), reconciled back to system deal tickets or CARP/DOVE file (or signed off by Risk / Commercial) prior to distribution (S).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Auto-reconciler ensures completeness and accuracy of data transfer from EnPower to settlements systems and highlights exceptions (P) &amp; (M).  A web based reconciliation tool also monitors the exceptions between LOM and SAP (M). 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Creation of all invoices/credit notes (manual and system based) is incomplete.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Anna McAndrew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Gill Denham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created invoices are reconciled back to the FO volume and price data through the manual CARP/DOVE file reconciliation prior to invoice distribution (S).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created credit notes are reconciled to incoming invoices for volume and price (and to EnPower if discrepancies are found – see 1a) &amp; 1b) above) (S).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567"/>
                <w:tab w:val="left" w:pos="522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Invoices are distributed using auto-faxing functionality (P)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567"/>
                <w:tab w:val="left" w:pos="522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Phone calls are made to all counterparties between invoice and settlement date to ensure invoices have been received and to begin the process of agreement (P) &amp; (M)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567"/>
                <w:tab w:val="left" w:pos="522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Non finalised invoice report ensures completeness of authorisation through to LOM from BOSS (P) &amp; (M)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Creation of all invoices/credit notes (manual and system based) is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Anna McAndrew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Gill Denham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BOSS functionality displays due dates of all invoices (P).  Staff ownership of individual counterparties (P) and supervisory oversight ensures timely invoicing. (S). (Note:  settlement cycles in the Power market are more than sufficient to allow timely invoicing.)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Manual invoices are not input accurately, completely, or timely into LOM, including option premiums, broker fees, capacity trades, etc.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Anna McAndrew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Gill Denham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OPTION PREMIUMS are not fed from EnPower.  Settlements ensure completeness, accuracy and timeliness via a daily search query on EnPower (S). Incoming invoices are reconciled to deal tickets (S).  Supervisor uses deal ticket to ensure accurate data entry prior to authorisation (S).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Power BROKERAGE is captured in EnPower and reconciled manually back to deal tickets (S).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Balancing invoices from the grid are not currently reconciled as the data is not captured accurately in front office systems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lang w:val="en-CA" w:eastAsia="en-CA"/>
              </w:rPr>
            </w:pPr>
            <w:r>
              <w:rPr>
                <w:lang w:val="en-CA" w:eastAsia="en-CA"/>
              </w:rPr>
              <w:t>Settlements assign inappropriate VAT amounts to invoices.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Anna McAndrew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Gill Denham</w:t>
            </w:r>
          </w:p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8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UK</w:t>
            </w:r>
            <w:r>
              <w:rPr>
                <w:rFonts w:cs="Arial" w:ascii="Arial" w:hAnsi="Arial"/>
                <w:sz w:val="18"/>
              </w:rPr>
              <w:t>:  Single tax rate only (P).</w:t>
            </w:r>
          </w:p>
          <w:p>
            <w:pPr>
              <w:pStyle w:val="Normal"/>
              <w:numPr>
                <w:ilvl w:val="0"/>
                <w:numId w:val="38"/>
              </w:numPr>
              <w:spacing w:before="120" w:after="120"/>
              <w:rPr>
                <w:sz w:val="20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Continental</w:t>
            </w:r>
            <w:r>
              <w:rPr>
                <w:rFonts w:cs="Arial" w:ascii="Arial" w:hAnsi="Arial"/>
                <w:sz w:val="18"/>
              </w:rPr>
              <w:t>:  VAT rates on sell invoices are checked and approved by VAT expert seconded to Settlements when it is a 0% rated invoice or a cross border trade (S).  Credit notes replicate the VAT rate indicated by the seller (accurate VAT is seller’s liability) (P)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EnPower and BOSS and LOM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Integrity 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LOM and SAP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Integrity 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BOSS system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LOM system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SAP system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BATS system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the NETA database and BATS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transfer between the BATS and SAP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data extraction from EnPower into the option premiums, capacity payments and UKPX trade spreadsheets, is incomplete, inaccurate and/or untimely.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0"/>
              </w:rPr>
            </w:pPr>
            <w:r>
              <w:rPr>
                <w:sz w:val="20"/>
              </w:rPr>
              <w:t>The underlying data within the option premiums, capacity payments and UKPX trades spreadsheets is incomplete and/or inaccurate.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Access/ Integrity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Settlements</w:t>
            </w:r>
          </w:p>
          <w:p>
            <w:pPr>
              <w:pStyle w:val="Normal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(UK only – UKPX Reconciliation)</w:t>
            </w:r>
          </w:p>
        </w:tc>
        <w:tc>
          <w:tcPr>
            <w:tcW w:w="7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kern w:val="0"/>
              </w:rPr>
            </w:pPr>
            <w:r>
              <w:rPr>
                <w:kern w:val="0"/>
              </w:rPr>
              <w:t>UKPX reconciliation is not performed accurately, completely or on a regular (daily) basis.</w:t>
            </w:r>
          </w:p>
        </w:tc>
        <w:tc>
          <w:tcPr>
            <w:tcW w:w="9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Settlements</w:t>
            </w:r>
          </w:p>
          <w:p>
            <w:pPr>
              <w:pStyle w:val="Normal"/>
              <w:spacing w:before="120" w:after="12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(Continental only – Transmission Deals)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snapToGrid w:val="false"/>
              <w:spacing w:before="120" w:after="120"/>
              <w:rPr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120" w:after="120"/>
              <w:rPr>
                <w:color w:val="FF0000"/>
                <w:kern w:val="0"/>
              </w:rPr>
            </w:pPr>
            <w:r>
              <w:rPr>
                <w:kern w:val="0"/>
              </w:rPr>
              <w:t xml:space="preserve">T-Component charges by German Grid are not legally enforceable and not properly accrued. 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Audit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701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 w:eastAsia="en-CA"/>
      </w:rPr>
    </w:pPr>
    <w:r>
      <w:rPr>
        <w:lang w:val="nl-NL" w:eastAsia="en-CA"/>
      </w:rPr>
      <w:drawing>
        <wp:anchor behindDoc="1" distT="0" distB="0" distL="114935" distR="114935" simplePos="0" locked="0" layoutInCell="1" allowOverlap="1" relativeHeight="15">
          <wp:simplePos x="0" y="0"/>
          <wp:positionH relativeFrom="column">
            <wp:posOffset>13970</wp:posOffset>
          </wp:positionH>
          <wp:positionV relativeFrom="paragraph">
            <wp:posOffset>-97790</wp:posOffset>
          </wp:positionV>
          <wp:extent cx="609600" cy="53340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8" r="-9" b="-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b w:val="false"/>
        <w:sz w:val="36"/>
        <w:u w:val="single"/>
      </w:rPr>
    </w:pPr>
    <w:r>
      <w:rPr>
        <w:b w:val="false"/>
        <w:sz w:val="36"/>
        <w:u w:val="single"/>
      </w:rPr>
      <w:t>UK / Continental Power Process</w:t>
    </w:r>
  </w:p>
  <w:p>
    <w:pPr>
      <w:pStyle w:val="Heading"/>
      <w:rPr>
        <w:b w:val="false"/>
        <w:sz w:val="20"/>
        <w:u w:val="single"/>
      </w:rPr>
    </w:pPr>
    <w:r>
      <w:rPr>
        <w:b w:val="false"/>
        <w:sz w:val="20"/>
        <w:u w:val="single"/>
      </w:rPr>
    </w:r>
  </w:p>
  <w:p>
    <w:pPr>
      <w:pStyle w:val="Heading"/>
      <w:rPr>
        <w:b w:val="false"/>
        <w:sz w:val="36"/>
        <w:u w:val="single"/>
      </w:rPr>
    </w:pPr>
    <w:r>
      <w:rPr>
        <w:b w:val="false"/>
        <w:sz w:val="36"/>
        <w:u w:val="single"/>
      </w:rPr>
      <w:t>Risk Documentation</w:t>
    </w:r>
  </w:p>
  <w:p>
    <w:pPr>
      <w:pStyle w:val="Header"/>
      <w:rPr>
        <w:b/>
        <w:sz w:val="36"/>
        <w:u w:val="single"/>
      </w:rPr>
    </w:pPr>
    <w:r>
      <w:rPr>
        <w:b/>
        <w:sz w:val="36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432"/>
        </w:tabs>
        <w:ind w:start="432" w:hanging="432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9">
    <w:lvl w:ilvl="0">
      <w:start w:val="1"/>
      <w:numFmt w:val="lowerLetter"/>
      <w:lvlText w:val="%1)"/>
      <w:lvlJc w:val="start"/>
      <w:pPr>
        <w:tabs>
          <w:tab w:val="num" w:pos="432"/>
        </w:tabs>
        <w:ind w:start="432" w:hanging="432"/>
      </w:pPr>
      <w:rPr/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432"/>
        </w:tabs>
        <w:ind w:start="432" w:hanging="432"/>
      </w:pPr>
      <w:rPr/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7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8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2">
    <w:lvl w:ilvl="0">
      <w:start w:val="1"/>
      <w:numFmt w:val="lowerLetter"/>
      <w:lvlText w:val="%1)"/>
      <w:lvlJc w:val="start"/>
      <w:pPr>
        <w:tabs>
          <w:tab w:val="num" w:pos="432"/>
        </w:tabs>
        <w:ind w:start="432" w:hanging="432"/>
      </w:pPr>
      <w:rPr/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lowerLetter"/>
      <w:lvlText w:val="%1)"/>
      <w:lvlJc w:val="start"/>
      <w:pPr>
        <w:tabs>
          <w:tab w:val="num" w:pos="432"/>
        </w:tabs>
        <w:ind w:start="432" w:hanging="432"/>
      </w:pPr>
      <w:rPr/>
    </w:lvl>
  </w:abstractNum>
  <w:abstractNum w:abstractNumId="37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8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567"/>
  <w:autoHyphenation w:val="true"/>
  <w:hyphenationZone w:val="0"/>
  <w:compat>
    <w:noLeading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567"/>
        <w:tab w:val="left" w:pos="284" w:leader="none"/>
      </w:tabs>
      <w:spacing w:lineRule="atLeast" w:line="240"/>
      <w:outlineLvl w:val="4"/>
    </w:pPr>
    <w:rPr>
      <w:b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120" w:after="0"/>
      <w:jc w:val="center"/>
      <w:outlineLvl w:val="7"/>
    </w:pPr>
    <w:rPr>
      <w:b/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120"/>
      <w:outlineLvl w:val="8"/>
    </w:pPr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  <w:color w:val="auto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  <w:color w:val="auto"/>
    </w:rPr>
  </w:style>
  <w:style w:type="character" w:styleId="WW8Num54z0">
    <w:name w:val="WW8Num54z0"/>
    <w:qFormat/>
    <w:rPr>
      <w:rFonts w:ascii="Symbol" w:hAnsi="Symbol" w:cs="Symbol"/>
      <w:color w:val="auto"/>
    </w:rPr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  <w:color w:val="auto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/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  <w:sz w:val="16"/>
    </w:rPr>
  </w:style>
  <w:style w:type="character" w:styleId="WW8Num68z0">
    <w:name w:val="WW8Num68z0"/>
    <w:qFormat/>
    <w:rPr>
      <w:rFonts w:ascii="Symbol" w:hAnsi="Symbol" w:cs="Symbol"/>
      <w:color w:val="auto"/>
    </w:rPr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Symbol" w:hAnsi="Symbol" w:cs="Symbol"/>
      <w:color w:val="auto"/>
    </w:rPr>
  </w:style>
  <w:style w:type="character" w:styleId="WW8Num71z1">
    <w:name w:val="WW8Num71z1"/>
    <w:qFormat/>
    <w:rPr>
      <w:rFonts w:ascii="Courier New" w:hAnsi="Courier New" w:cs="Courier New"/>
    </w:rPr>
  </w:style>
  <w:style w:type="character" w:styleId="WW8Num71z2">
    <w:name w:val="WW8Num71z2"/>
    <w:qFormat/>
    <w:rPr>
      <w:rFonts w:ascii="Wingdings" w:hAnsi="Wingdings" w:cs="Wingdings"/>
    </w:rPr>
  </w:style>
  <w:style w:type="character" w:styleId="WW8Num71z3">
    <w:name w:val="WW8Num71z3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2">
    <w:name w:val="WW8Num72z2"/>
    <w:qFormat/>
    <w:rPr>
      <w:rFonts w:ascii="Wingdings" w:hAnsi="Wingdings" w:cs="Wingdings"/>
    </w:rPr>
  </w:style>
  <w:style w:type="character" w:styleId="WW8Num73z0">
    <w:name w:val="WW8Num73z0"/>
    <w:qFormat/>
    <w:rPr>
      <w:rFonts w:ascii="Symbol" w:hAnsi="Symbol" w:cs="Symbol"/>
      <w:color w:val="auto"/>
    </w:rPr>
  </w:style>
  <w:style w:type="character" w:styleId="WW8Num75z0">
    <w:name w:val="WW8Num75z0"/>
    <w:qFormat/>
    <w:rPr/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  <w:color w:val="auto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/>
  </w:style>
  <w:style w:type="character" w:styleId="WW8Num92z0">
    <w:name w:val="WW8Num92z0"/>
    <w:qFormat/>
    <w:rPr>
      <w:rFonts w:ascii="Symbol" w:hAnsi="Symbol" w:cs="Symbol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2z2">
    <w:name w:val="WW8Num92z2"/>
    <w:qFormat/>
    <w:rPr>
      <w:rFonts w:ascii="Wingdings" w:hAnsi="Wingdings" w:cs="Wingdings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  <w:color w:val="auto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7z2">
    <w:name w:val="WW8Num97z2"/>
    <w:qFormat/>
    <w:rPr>
      <w:rFonts w:ascii="Wingdings" w:hAnsi="Wingdings" w:cs="Wingdings"/>
    </w:rPr>
  </w:style>
  <w:style w:type="character" w:styleId="WW8Num98z0">
    <w:name w:val="WW8Num98z0"/>
    <w:qFormat/>
    <w:rPr>
      <w:rFonts w:ascii="Symbol" w:hAnsi="Symbol" w:cs="Symbol"/>
      <w:color w:val="auto"/>
    </w:rPr>
  </w:style>
  <w:style w:type="character" w:styleId="WW8Num99z0">
    <w:name w:val="WW8Num99z0"/>
    <w:qFormat/>
    <w:rPr>
      <w:rFonts w:ascii="Symbol" w:hAnsi="Symbol" w:cs="Symbol"/>
      <w:color w:val="auto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2z1">
    <w:name w:val="WW8Num102z1"/>
    <w:qFormat/>
    <w:rPr>
      <w:rFonts w:ascii="Courier New" w:hAnsi="Courier New" w:cs="Courier New"/>
    </w:rPr>
  </w:style>
  <w:style w:type="character" w:styleId="WW8Num102z2">
    <w:name w:val="WW8Num102z2"/>
    <w:qFormat/>
    <w:rPr>
      <w:rFonts w:ascii="Wingdings" w:hAnsi="Wingdings" w:cs="Wingdings"/>
    </w:rPr>
  </w:style>
  <w:style w:type="character" w:styleId="WW8Num103z0">
    <w:name w:val="WW8Num103z0"/>
    <w:qFormat/>
    <w:rPr/>
  </w:style>
  <w:style w:type="character" w:styleId="WW8Num104z1">
    <w:name w:val="WW8Num104z1"/>
    <w:qFormat/>
    <w:rPr>
      <w:rFonts w:ascii="Courier New" w:hAnsi="Courier New" w:cs="Courier New"/>
    </w:rPr>
  </w:style>
  <w:style w:type="character" w:styleId="WW8Num104z2">
    <w:name w:val="WW8Num104z2"/>
    <w:qFormat/>
    <w:rPr>
      <w:rFonts w:ascii="Wingdings" w:hAnsi="Wingdings" w:cs="Wingdings"/>
    </w:rPr>
  </w:style>
  <w:style w:type="character" w:styleId="WW8Num104z3">
    <w:name w:val="WW8Num10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567"/>
        <w:tab w:val="left" w:pos="28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567"/>
        <w:tab w:val="left" w:pos="851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567"/>
        <w:tab w:val="left" w:pos="1134" w:leader="none"/>
      </w:tabs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567"/>
        <w:tab w:val="left" w:pos="28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567"/>
        <w:tab w:val="left" w:pos="851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 w:eastAsia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567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567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567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MacroText">
    <w:name w:val="Macro Text"/>
    <w:qFormat/>
    <w:pPr>
      <w:widowControl/>
      <w:tabs>
        <w:tab w:val="clear" w:pos="567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GB" w:bidi="ar-SA" w:eastAsia="zh-CN"/>
    </w:rPr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25"/>
      </w:numPr>
      <w:tabs>
        <w:tab w:val="clear" w:pos="567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26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23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BodyTextIndent2">
    <w:name w:val="Body Text Indent 2"/>
    <w:basedOn w:val="Normal"/>
    <w:qFormat/>
    <w:pPr>
      <w:tabs>
        <w:tab w:val="clear" w:pos="567"/>
        <w:tab w:val="left" w:pos="284" w:leader="none"/>
      </w:tabs>
      <w:spacing w:lineRule="atLeast" w:line="240"/>
      <w:ind w:hanging="284" w:start="284" w:end="0"/>
    </w:pPr>
    <w:rPr>
      <w:color w:val="000000"/>
      <w:lang w:val="en-US"/>
    </w:rPr>
  </w:style>
  <w:style w:type="paragraph" w:styleId="BodyText2">
    <w:name w:val="Body Text 2"/>
    <w:basedOn w:val="Normal"/>
    <w:qFormat/>
    <w:pPr>
      <w:tabs>
        <w:tab w:val="clear" w:pos="567"/>
        <w:tab w:val="left" w:pos="284" w:leader="none"/>
      </w:tabs>
      <w:spacing w:lineRule="atLeast" w:line="240"/>
    </w:pPr>
    <w:rPr>
      <w:color w:val="000000"/>
      <w:lang w:val="en-US"/>
    </w:rPr>
  </w:style>
  <w:style w:type="paragraph" w:styleId="BodyText3">
    <w:name w:val="Body Text 3"/>
    <w:basedOn w:val="Normal"/>
    <w:qFormat/>
    <w:pPr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2001-10-24T09:39:00Z</dcterms:created>
  <dc:creator>Lucy Strong</dc:creator>
  <dc:description/>
  <dc:language>en-CA</dc:language>
  <cp:lastModifiedBy>Chris Manickam</cp:lastModifiedBy>
  <cp:lastPrinted>2001-09-18T13:34:00Z</cp:lastPrinted>
  <dcterms:modified xsi:type="dcterms:W3CDTF">2001-10-24T09:43:00Z</dcterms:modified>
  <cp:revision>3</cp:revision>
  <dc:subject/>
  <dc:title>This document outlines the Audit Planning Approach and documentation standards to be adopted for all Enron Europe Audit Projects</dc:title>
</cp:coreProperties>
</file>