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Consolidated Edison Company of New York (“CP”)</w:t>
        <w:tab/>
        <w:tab/>
        <w:tab/>
        <w:t>Date:  10/18/01</w:t>
      </w:r>
    </w:p>
    <w:p>
      <w:pPr>
        <w:pStyle w:val="Normal"/>
        <w:rPr/>
      </w:pPr>
      <w:r>
        <w:rPr/>
        <w:t>ISDA Master Agreement Negotiations Status</w:t>
      </w:r>
    </w:p>
    <w:p>
      <w:pPr>
        <w:pStyle w:val="Normal"/>
        <w:rPr/>
      </w:pPr>
      <w:r>
        <w:rPr/>
      </w:r>
    </w:p>
    <w:p>
      <w:pPr>
        <w:pStyle w:val="Normal"/>
        <w:numPr>
          <w:ilvl w:val="0"/>
          <w:numId w:val="1"/>
        </w:numPr>
        <w:rPr/>
      </w:pPr>
      <w:r>
        <w:rPr/>
        <w:t xml:space="preserve">Cross Default – (a)  CP proposes its own definition for 3% shareholder equity but hasn’t defined “shareholder equity”; alternatively, CP won’t agree to specific numbers </w:t>
      </w:r>
    </w:p>
    <w:p>
      <w:pPr>
        <w:pStyle w:val="Normal"/>
        <w:numPr>
          <w:ilvl w:val="1"/>
          <w:numId w:val="1"/>
        </w:numPr>
        <w:rPr/>
      </w:pPr>
      <w:r>
        <w:rPr/>
        <w:t>CP wants cross acceleration</w:t>
      </w:r>
    </w:p>
    <w:p>
      <w:pPr>
        <w:pStyle w:val="Normal"/>
        <w:rPr/>
      </w:pPr>
      <w:r>
        <w:rPr/>
      </w:r>
    </w:p>
    <w:p>
      <w:pPr>
        <w:pStyle w:val="BodyTextIndent"/>
        <w:numPr>
          <w:ilvl w:val="0"/>
          <w:numId w:val="1"/>
        </w:numPr>
        <w:rPr/>
      </w:pPr>
      <w:r>
        <w:rPr/>
        <w:t>Credit Event Upon Merger – CP proposes a definition of “materially weaker” including transferee Credit Rating two grades below transferor or below investment grade.  Also appear to accept our 5(b)(iv) usual amendment which provides for continuing guaranty or non-transferring party’s request for collateral</w:t>
      </w:r>
    </w:p>
    <w:p>
      <w:pPr>
        <w:pStyle w:val="Normal"/>
        <w:rPr/>
      </w:pPr>
      <w:r>
        <w:rPr/>
      </w:r>
    </w:p>
    <w:p>
      <w:pPr>
        <w:pStyle w:val="Normal"/>
        <w:numPr>
          <w:ilvl w:val="0"/>
          <w:numId w:val="1"/>
        </w:numPr>
        <w:rPr/>
      </w:pPr>
      <w:r>
        <w:rPr/>
        <w:t>Additional Termination Event – CP won’t agree (even if the event is bilateral).  Claims too narrow but has no suggestions.</w:t>
      </w:r>
    </w:p>
    <w:p>
      <w:pPr>
        <w:pStyle w:val="Normal"/>
        <w:rPr/>
      </w:pPr>
      <w:r>
        <w:rPr/>
      </w:r>
    </w:p>
    <w:p>
      <w:pPr>
        <w:pStyle w:val="Normal"/>
        <w:numPr>
          <w:ilvl w:val="0"/>
          <w:numId w:val="1"/>
        </w:numPr>
        <w:rPr/>
      </w:pPr>
      <w:r>
        <w:rPr/>
        <w:t>CP wants Market Quotation (check what we did in the omnibus).  We may want to negotiate</w:t>
      </w:r>
    </w:p>
    <w:p>
      <w:pPr>
        <w:pStyle w:val="Normal"/>
        <w:rPr/>
      </w:pPr>
      <w:r>
        <w:rPr/>
      </w:r>
    </w:p>
    <w:p>
      <w:pPr>
        <w:pStyle w:val="Normal"/>
        <w:numPr>
          <w:ilvl w:val="0"/>
          <w:numId w:val="1"/>
        </w:numPr>
        <w:rPr/>
      </w:pPr>
      <w:r>
        <w:rPr/>
        <w:t>CP verifying ability to submit quarterly financials not later than 60 days after the end of each of the first three fiscal quarters of each fiscal year</w:t>
      </w:r>
    </w:p>
    <w:p>
      <w:pPr>
        <w:pStyle w:val="Normal"/>
        <w:rPr/>
      </w:pPr>
      <w:r>
        <w:rPr/>
      </w:r>
    </w:p>
    <w:p>
      <w:pPr>
        <w:pStyle w:val="Normal"/>
        <w:numPr>
          <w:ilvl w:val="0"/>
          <w:numId w:val="1"/>
        </w:numPr>
        <w:rPr/>
      </w:pPr>
      <w:r>
        <w:rPr/>
        <w:t>Netting by groups is okay</w:t>
      </w:r>
    </w:p>
    <w:p>
      <w:pPr>
        <w:pStyle w:val="Normal"/>
        <w:rPr/>
      </w:pPr>
      <w:r>
        <w:rPr/>
      </w:r>
    </w:p>
    <w:p>
      <w:pPr>
        <w:pStyle w:val="Normal"/>
        <w:numPr>
          <w:ilvl w:val="0"/>
          <w:numId w:val="1"/>
        </w:numPr>
        <w:rPr/>
      </w:pPr>
      <w:r>
        <w:rPr/>
        <w:t>CP won’t accept arbitration.  We’ll send our jurisdiction language or agree to be silent on jurisdiction.</w:t>
      </w:r>
    </w:p>
    <w:p>
      <w:pPr>
        <w:pStyle w:val="Normal"/>
        <w:rPr/>
      </w:pPr>
      <w:r>
        <w:rPr/>
      </w:r>
    </w:p>
    <w:p>
      <w:pPr>
        <w:pStyle w:val="Normal"/>
        <w:numPr>
          <w:ilvl w:val="0"/>
          <w:numId w:val="1"/>
        </w:numPr>
        <w:rPr/>
      </w:pPr>
      <w:r>
        <w:rPr/>
        <w:t>CP wants consent of officers/employees</w:t>
        <w:tab/>
        <w:tab/>
        <w:tab/>
      </w:r>
    </w:p>
    <w:p>
      <w:pPr>
        <w:pStyle w:val="Normal"/>
        <w:rPr/>
      </w:pPr>
      <w:r>
        <w:rPr/>
      </w:r>
    </w:p>
    <w:p>
      <w:pPr>
        <w:pStyle w:val="Normal"/>
        <w:numPr>
          <w:ilvl w:val="0"/>
          <w:numId w:val="1"/>
        </w:numPr>
        <w:rPr/>
      </w:pPr>
      <w:r>
        <w:rPr/>
        <w:t>CP won’t agree to setoff.  Also, CP believes that Setoff, part (B) is a stalling tactic</w:t>
      </w:r>
    </w:p>
    <w:p>
      <w:pPr>
        <w:pStyle w:val="Normal"/>
        <w:rPr/>
      </w:pPr>
      <w:r>
        <w:rPr/>
      </w:r>
    </w:p>
    <w:p>
      <w:pPr>
        <w:pStyle w:val="Normal"/>
        <w:numPr>
          <w:ilvl w:val="0"/>
          <w:numId w:val="1"/>
        </w:numPr>
        <w:rPr/>
      </w:pPr>
      <w:r>
        <w:rPr/>
        <w:t>Market Disruption re: NYMEX limits: CP to send suggested language</w:t>
      </w:r>
    </w:p>
    <w:p>
      <w:pPr>
        <w:pStyle w:val="Normal"/>
        <w:rPr/>
      </w:pPr>
      <w:r>
        <w:rPr/>
      </w:r>
    </w:p>
    <w:p>
      <w:pPr>
        <w:pStyle w:val="Normal"/>
        <w:numPr>
          <w:ilvl w:val="0"/>
          <w:numId w:val="1"/>
        </w:numPr>
        <w:rPr/>
      </w:pPr>
      <w:r>
        <w:rPr/>
        <w:t>Disruption fallbacks:  CP want bilateral ability to select Commodity Reference Dealers for quotation purposes; also wants No Fault to apply.  We need to review the omnibus and see if acceptable for the master.</w:t>
      </w:r>
    </w:p>
    <w:p>
      <w:pPr>
        <w:pStyle w:val="Normal"/>
        <w:rPr/>
      </w:pPr>
      <w:r>
        <w:rPr/>
      </w:r>
    </w:p>
    <w:p>
      <w:pPr>
        <w:pStyle w:val="Normal"/>
        <w:numPr>
          <w:ilvl w:val="0"/>
          <w:numId w:val="1"/>
        </w:numPr>
        <w:rPr/>
      </w:pPr>
      <w:r>
        <w:rPr/>
        <w:t>Collateral Threshold at issue (Ed emailed matrix to “P. Douglas” on October 9, 2001)</w:t>
      </w:r>
    </w:p>
    <w:p>
      <w:pPr>
        <w:pStyle w:val="Normal"/>
        <w:rPr/>
      </w:pPr>
      <w:r>
        <w:rPr/>
      </w:r>
    </w:p>
    <w:p>
      <w:pPr>
        <w:pStyle w:val="Normal"/>
        <w:numPr>
          <w:ilvl w:val="0"/>
          <w:numId w:val="1"/>
        </w:numPr>
        <w:rPr/>
      </w:pPr>
      <w:r>
        <w:rPr/>
        <w:t>MAC at issue</w:t>
      </w:r>
    </w:p>
    <w:p>
      <w:pPr>
        <w:pStyle w:val="Normal"/>
        <w:rPr/>
      </w:pPr>
      <w:r>
        <w:rPr/>
      </w:r>
    </w:p>
    <w:p>
      <w:pPr>
        <w:pStyle w:val="Normal"/>
        <w:numPr>
          <w:ilvl w:val="0"/>
          <w:numId w:val="1"/>
        </w:numPr>
        <w:rPr/>
      </w:pPr>
      <w:r>
        <w:rPr/>
        <w:t>Concerns with transfer timing of collateral</w:t>
      </w:r>
    </w:p>
    <w:p>
      <w:pPr>
        <w:pStyle w:val="Normal"/>
        <w:rPr/>
      </w:pPr>
      <w:r>
        <w:rPr/>
      </w:r>
    </w:p>
    <w:p>
      <w:pPr>
        <w:pStyle w:val="Normal"/>
        <w:numPr>
          <w:ilvl w:val="0"/>
          <w:numId w:val="1"/>
        </w:numPr>
        <w:rPr/>
      </w:pPr>
      <w:r>
        <w:rPr/>
        <w:t>CP wants ENE to hold any posted collateral and not ENA</w:t>
      </w:r>
    </w:p>
    <w:p>
      <w:pPr>
        <w:pStyle w:val="Normal"/>
        <w:rPr/>
      </w:pPr>
      <w:r>
        <w:rPr/>
      </w:r>
    </w:p>
    <w:p>
      <w:pPr>
        <w:pStyle w:val="Normal"/>
        <w:numPr>
          <w:ilvl w:val="0"/>
          <w:numId w:val="1"/>
        </w:numPr>
        <w:rPr/>
      </w:pPr>
      <w:r>
        <w:rPr/>
        <w:t>Need to review CP changes to holding/use of posted collateral</w:t>
      </w:r>
    </w:p>
    <w:p>
      <w:pPr>
        <w:pStyle w:val="Normal"/>
        <w:rPr/>
      </w:pPr>
      <w:r>
        <w:rPr/>
      </w:r>
    </w:p>
    <w:p>
      <w:pPr>
        <w:pStyle w:val="Normal"/>
        <w:numPr>
          <w:ilvl w:val="0"/>
          <w:numId w:val="1"/>
        </w:numPr>
        <w:rPr/>
      </w:pPr>
      <w:r>
        <w:rPr/>
        <w:t>CP still needs to review the LC language which was added when CP agreed to accept LCs.</w:t>
      </w:r>
    </w:p>
    <w:p>
      <w:pPr>
        <w:pStyle w:val="Normal"/>
        <w:rPr/>
      </w:pPr>
      <w:r>
        <w:rPr/>
      </w:r>
    </w:p>
    <w:p>
      <w:pPr>
        <w:pStyle w:val="Normal"/>
        <w:numPr>
          <w:ilvl w:val="0"/>
          <w:numId w:val="1"/>
        </w:numPr>
        <w:rPr/>
      </w:pPr>
      <w:r>
        <w:rPr/>
      </w:r>
    </w:p>
    <w:p>
      <w:pPr>
        <w:pStyle w:val="Normal"/>
        <w:rPr/>
      </w:pPr>
      <w:r>
        <w:rPr/>
      </w:r>
    </w:p>
    <w:p>
      <w:pPr>
        <w:pStyle w:val="Normal"/>
        <w:rPr/>
      </w:pPr>
      <w:r>
        <w:rPr/>
        <w:fldChar w:fldCharType="begin"/>
      </w:r>
      <w:r>
        <w:rPr/>
        <w:instrText xml:space="preserve"> FILENAME \p </w:instrText>
      </w:r>
      <w:r>
        <w:rPr/>
        <w:fldChar w:fldCharType="separate"/>
      </w:r>
      <w:r>
        <w:rPr/>
        <w:t>/mnt/main-storage/datasets/enron-docs/doc/Consolidated_Edison_Company_of_New_York_issues.doc</w:t>
      </w:r>
      <w:r>
        <w:rPr/>
        <w:fldChar w:fldCharType="end"/>
      </w: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lvl w:ilvl="1">
      <w:start w:val="2"/>
      <w:numFmt w:val="lowerLetter"/>
      <w:lvlText w:val="(%2)"/>
      <w:lvlJc w:val="start"/>
      <w:pPr>
        <w:tabs>
          <w:tab w:val="num" w:pos="1470"/>
        </w:tabs>
        <w:ind w:start="1470" w:hanging="39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2001-10-18T17:22:00Z</dcterms:created>
  <dc:creator>sshackl</dc:creator>
  <dc:description/>
  <dc:language>en-CA</dc:language>
  <cp:lastModifiedBy>sshackl</cp:lastModifiedBy>
  <dcterms:modified xsi:type="dcterms:W3CDTF">2001-10-18T17:59:00Z</dcterms:modified>
  <cp:revision>3</cp:revision>
  <dc:subject/>
  <dc:title>Consolidated Edison Company of New York</dc:title>
</cp:coreProperties>
</file>