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11" w:end="0"/>
        <w:rPr/>
      </w:pPr>
      <w:r>
        <w:rPr/>
        <w:t xml:space="preserve">Draft APEC Energy Working Group Consolidated Report to </w:t>
        <w:br/>
        <w:t xml:space="preserve">APEC Economic Leaders </w:t>
        <w:br/>
        <w:t>on Implementation of Energy Initiatives</w:t>
      </w:r>
    </w:p>
    <w:p>
      <w:pPr>
        <w:pStyle w:val="Normal"/>
        <w:ind w:hanging="11" w:end="0"/>
        <w:jc w:val="center"/>
        <w:rPr>
          <w:b/>
          <w:lang w:val="en-GB"/>
        </w:rPr>
      </w:pPr>
      <w:r>
        <w:rPr>
          <w:b/>
          <w:lang w:val="en-GB"/>
        </w:rPr>
        <w:t>October 2001</w:t>
      </w:r>
    </w:p>
    <w:p>
      <w:pPr>
        <w:pStyle w:val="Level1"/>
        <w:rPr>
          <w:b/>
          <w:lang w:val="en-GB"/>
        </w:rPr>
      </w:pPr>
      <w:r>
        <w:rPr>
          <w:b/>
          <w:lang w:val="en-GB"/>
        </w:rPr>
      </w:r>
    </w:p>
    <w:p>
      <w:pPr>
        <w:pStyle w:val="Normal"/>
        <w:ind w:hanging="720" w:start="720" w:end="0"/>
        <w:rPr>
          <w:b/>
        </w:rPr>
      </w:pPr>
      <w:r>
        <w:rPr>
          <w:b/>
        </w:rPr>
        <w:t>Background</w:t>
      </w:r>
    </w:p>
    <w:p>
      <w:pPr>
        <w:pStyle w:val="Normal"/>
        <w:ind w:hanging="720" w:start="720" w:end="0"/>
        <w:rPr>
          <w:b/>
        </w:rPr>
      </w:pPr>
      <w:r>
        <w:rPr>
          <w:b/>
        </w:rPr>
      </w:r>
    </w:p>
    <w:p>
      <w:pPr>
        <w:pStyle w:val="Normal"/>
        <w:rPr/>
      </w:pPr>
      <w:r>
        <w:rPr/>
        <w:t>At their fourth meeting, in San Diego, USA on 12 May 2000, APEC Energy Ministers agreed to an Implementation Strategy for the various initiatives they have endorsed since 1996.  The Implementation Strategy includes a system of voluntary, annual self reports on implementation progress by member economies for forwarding to APEC Economic Leaders.</w:t>
      </w:r>
    </w:p>
    <w:p>
      <w:pPr>
        <w:pStyle w:val="Normal"/>
        <w:ind w:hanging="720" w:start="720" w:end="0"/>
        <w:rPr/>
      </w:pPr>
      <w:r>
        <w:rPr/>
      </w:r>
    </w:p>
    <w:p>
      <w:pPr>
        <w:pStyle w:val="Normal"/>
        <w:rPr>
          <w:spacing w:val="-4"/>
        </w:rPr>
      </w:pPr>
      <w:r>
        <w:rPr>
          <w:spacing w:val="-4"/>
        </w:rPr>
        <w:t>APEC Energy Ministers initiatives embody a number of primary principles to guide and assist the development of APEC’s individual and collective activities in the energy sector.  The following Report uses these principles as headings to consolidate the individual reports of member economies that are attached as annexes in accordance with APEC Energy Ministers' instructions.</w:t>
      </w:r>
    </w:p>
    <w:p>
      <w:pPr>
        <w:pStyle w:val="Normal"/>
        <w:ind w:hanging="720" w:start="720" w:end="0"/>
        <w:rPr>
          <w:spacing w:val="-4"/>
        </w:rPr>
      </w:pPr>
      <w:r>
        <w:rPr>
          <w:spacing w:val="-4"/>
        </w:rPr>
      </w:r>
    </w:p>
    <w:p>
      <w:pPr>
        <w:pStyle w:val="Normal"/>
        <w:ind w:hanging="720" w:start="720" w:end="0"/>
        <w:rPr/>
      </w:pPr>
      <w:r>
        <w:rPr/>
      </w:r>
    </w:p>
    <w:p>
      <w:pPr>
        <w:pStyle w:val="BodyText"/>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1: A common understanding on regional energy issues and future energy supply and demand trends.</w:t>
      </w:r>
    </w:p>
    <w:p>
      <w:pPr>
        <w:pStyle w:val="Normal"/>
        <w:ind w:hanging="720" w:start="720" w:end="0"/>
        <w:rPr>
          <w:rFonts w:ascii="Times New Roman;Times New Roman" w:hAnsi="Times New Roman;Times New Roman" w:cs="Times New Roman;Times New Roman"/>
          <w:b/>
          <w:sz w:val="24"/>
        </w:rPr>
      </w:pPr>
      <w:r>
        <w:rPr>
          <w:rFonts w:cs="Times New Roman;Times New Roman"/>
          <w:b/>
          <w:sz w:val="24"/>
        </w:rPr>
      </w:r>
    </w:p>
    <w:p>
      <w:pPr>
        <w:pStyle w:val="Normal"/>
        <w:rPr/>
      </w:pPr>
      <w:r>
        <w:rPr>
          <w:b/>
        </w:rPr>
        <w:t>Hong Kong, China</w:t>
      </w:r>
      <w:r>
        <w:rPr/>
        <w:t xml:space="preserve"> has developed an energy end-use database and forecasting model for the territory which provides an insight into energy consumption patterns and trends and energy use characteristics of the individual sectors and sub-sectors.  In addition a consultancy study on the development of energy consumption indicators and benchmarks for selected groups in the commercial and transport sectors was commissioned in December 2000 and is scheduled for completion in 2002.</w:t>
      </w:r>
    </w:p>
    <w:p>
      <w:pPr>
        <w:pStyle w:val="Normal"/>
        <w:rPr/>
      </w:pPr>
      <w:r>
        <w:rPr/>
      </w:r>
    </w:p>
    <w:p>
      <w:pPr>
        <w:pStyle w:val="Normal"/>
        <w:rPr/>
      </w:pPr>
      <w:r>
        <w:rPr>
          <w:b/>
        </w:rPr>
        <w:t>Japan</w:t>
      </w:r>
      <w:r>
        <w:rPr/>
        <w:t xml:space="preserve"> has promoted cooperation between the Asia Pacific Energy Research Centre (APERC) and APEC member economies to develop the APEC Energy Demand and Supply Outlook.  APERC is currently updating the Outlook and a revised version will be available by the first half of 2002.  Japan held an ‘APEC Oil Supply and Demand Security Seminar’ in Tokyo in November 1999, to share views on the future oil supply and demand outlook and to discuss the necessity for emergency preparedness in the APEC region.  Japan has also arranged the APEC Energy Security Workshop in cooperation with the Expert Group on Clean Fossil Energy (EGCFE) and Thailand.  </w:t>
      </w:r>
    </w:p>
    <w:p>
      <w:pPr>
        <w:pStyle w:val="Normal"/>
        <w:ind w:hanging="720" w:start="720" w:end="0"/>
        <w:rPr/>
      </w:pPr>
      <w:r>
        <w:rPr/>
      </w:r>
    </w:p>
    <w:p>
      <w:pPr>
        <w:pStyle w:val="Normal"/>
        <w:rPr/>
      </w:pPr>
      <w:r>
        <w:rPr>
          <w:b/>
        </w:rPr>
        <w:t>Korea</w:t>
      </w:r>
      <w:r>
        <w:rPr/>
        <w:t xml:space="preserve"> has maintained cooperation with the Asia Pacific Energy Research Centre (APERC) and other APEC member economies. It also regularly provides information on Korean energy supply and demand trends to APERC for the development of energy policies in the APEC region.</w:t>
      </w:r>
    </w:p>
    <w:p>
      <w:pPr>
        <w:pStyle w:val="Normal"/>
        <w:rPr/>
      </w:pPr>
      <w:r>
        <w:rPr/>
      </w:r>
    </w:p>
    <w:p>
      <w:pPr>
        <w:pStyle w:val="Normal"/>
        <w:rPr/>
      </w:pPr>
      <w:r>
        <w:rPr/>
        <w:t xml:space="preserve">The </w:t>
      </w:r>
      <w:r>
        <w:rPr>
          <w:b/>
        </w:rPr>
        <w:t>Philippines</w:t>
      </w:r>
      <w:r>
        <w:rPr/>
        <w:t xml:space="preserve"> continues to support APERC’s objectives of fostering the identification and understanding of regional energy issues.  It provides APERC with an inventory of the country’s energy statistics on an annual basis. </w:t>
      </w:r>
    </w:p>
    <w:p>
      <w:pPr>
        <w:pStyle w:val="Normal"/>
        <w:ind w:hanging="720" w:start="720" w:end="0"/>
        <w:rPr/>
      </w:pPr>
      <w:r>
        <w:rPr/>
      </w:r>
    </w:p>
    <w:p>
      <w:pPr>
        <w:pStyle w:val="Normal"/>
        <w:ind w:hanging="720" w:start="720" w:end="0"/>
        <w:rPr/>
      </w:pPr>
      <w:r>
        <w:rPr/>
      </w:r>
    </w:p>
    <w:p>
      <w:pPr>
        <w:pStyle w:val="BodyText"/>
        <w:ind w:hanging="11" w:end="0"/>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2: Complementary regulatory, institutional and procedural regimes with no impediments to trade and investment in energy infrastructure, products and services.</w:t>
      </w:r>
    </w:p>
    <w:p>
      <w:pPr>
        <w:pStyle w:val="Level1"/>
        <w:tabs>
          <w:tab w:val="clear" w:pos="567"/>
          <w:tab w:val="left" w:pos="-1440" w:leader="none"/>
        </w:tabs>
        <w:ind w:hanging="0" w:start="0" w:end="0"/>
        <w:rPr>
          <w:rFonts w:ascii="Times New Roman;Times New Roman" w:hAnsi="Times New Roman;Times New Roman" w:cs="Times New Roman;Times New Roman"/>
          <w:b/>
          <w:sz w:val="24"/>
          <w:lang w:val="en-GB"/>
        </w:rPr>
      </w:pPr>
      <w:r>
        <w:rPr>
          <w:rFonts w:cs="Times New Roman;Times New Roman"/>
          <w:b/>
          <w:sz w:val="24"/>
          <w:lang w:val="en-GB"/>
        </w:rPr>
      </w:r>
    </w:p>
    <w:p>
      <w:pPr>
        <w:pStyle w:val="Level1"/>
        <w:tabs>
          <w:tab w:val="clear" w:pos="567"/>
          <w:tab w:val="left" w:pos="-1440" w:leader="none"/>
        </w:tabs>
        <w:ind w:hanging="0" w:start="0" w:end="0"/>
        <w:rPr/>
      </w:pPr>
      <w:r>
        <w:rPr>
          <w:b/>
          <w:lang w:val="en-GB"/>
        </w:rPr>
        <w:t xml:space="preserve">Canada’s </w:t>
      </w:r>
      <w:r>
        <w:rPr>
          <w:lang w:val="en-GB"/>
        </w:rPr>
        <w:t xml:space="preserve">energy sector operates primarily on open market principles except where there are perceived market failures.  Between 1985 and 1993 Canada </w:t>
      </w:r>
      <w:r>
        <w:rPr>
          <w:color w:val="000000"/>
          <w:lang w:val="en-GB"/>
        </w:rPr>
        <w:t>deregulated and restructured its</w:t>
      </w:r>
      <w:r>
        <w:rPr>
          <w:lang w:val="en-GB"/>
        </w:rPr>
        <w:t xml:space="preserve"> energy markets including the almost complete elimination of Foreign Direct Investment restrictions. The pace of electricity market liberalization varies by jurisdiction.  New technologies that make smaller scale power generation more economic are permitting the introduction of greater competition.  Export approvals, rate setting in regulated monopoly situations, health, safety, and environmental issues are regulated.</w:t>
      </w:r>
    </w:p>
    <w:p>
      <w:pPr>
        <w:pStyle w:val="Level1"/>
        <w:tabs>
          <w:tab w:val="clear" w:pos="567"/>
          <w:tab w:val="left" w:pos="-1440" w:leader="none"/>
        </w:tabs>
        <w:ind w:hanging="0" w:start="0" w:end="0"/>
        <w:rPr>
          <w:lang w:val="en-GB"/>
        </w:rPr>
      </w:pPr>
      <w:r>
        <w:rPr>
          <w:lang w:val="en-GB"/>
        </w:rPr>
      </w:r>
    </w:p>
    <w:p>
      <w:pPr>
        <w:pStyle w:val="Normal"/>
        <w:rPr/>
      </w:pPr>
      <w:r>
        <w:rPr/>
        <w:t xml:space="preserve">In </w:t>
      </w:r>
      <w:r>
        <w:rPr>
          <w:b/>
        </w:rPr>
        <w:t>Hong Kong, China</w:t>
      </w:r>
      <w:r>
        <w:rPr/>
        <w:t xml:space="preserve"> there are no trade or regulatory impediments to energy related investment.  The Government monitors conditions in the energy market to ensure that consumers get a reliable and efficient supply of energy at reasonable price, and that energy suppliers adopt safe and environmentally acceptable practices for the storage, distribution and use of primary fuels and final energy products.</w:t>
      </w:r>
    </w:p>
    <w:p>
      <w:pPr>
        <w:pStyle w:val="Normal"/>
        <w:rPr/>
      </w:pPr>
      <w:r>
        <w:rPr/>
      </w:r>
    </w:p>
    <w:p>
      <w:pPr>
        <w:pStyle w:val="Normal"/>
        <w:rPr/>
      </w:pPr>
      <w:r>
        <w:rPr>
          <w:lang w:val="en-GB"/>
        </w:rPr>
        <w:t xml:space="preserve">In </w:t>
      </w:r>
      <w:r>
        <w:rPr>
          <w:b/>
          <w:lang w:val="en-GB"/>
        </w:rPr>
        <w:t>Korea</w:t>
      </w:r>
      <w:r>
        <w:rPr>
          <w:lang w:val="en-GB"/>
        </w:rPr>
        <w:t>, there are no trade or regulatory impediments to energy-related investments.</w:t>
      </w:r>
    </w:p>
    <w:p>
      <w:pPr>
        <w:pStyle w:val="Normal"/>
        <w:rPr/>
      </w:pPr>
      <w:r>
        <w:rPr/>
      </w:r>
    </w:p>
    <w:p>
      <w:pPr>
        <w:pStyle w:val="Normal"/>
        <w:rPr/>
      </w:pPr>
      <w:r>
        <w:rPr>
          <w:b/>
        </w:rPr>
        <w:t>Mexico’s</w:t>
      </w:r>
      <w:r>
        <w:rPr/>
        <w:t xml:space="preserve"> legal framework in the energy sector, is constituted by laws, rules and other dispositions that, determine the functions of the Ministry of Energy and other energy sector agencies.  These laws also regulate activity by private firms in the sector.  The President of Mexico Vicente Fox has announced new policy that from 1 December 2000 will see processes of reform in the hydrocarbon and electric sectors, and modernization of the energy sector’s public enterprises to support economic development and growth.  Other elements of the policy are incorporation of market rules to promote companies’ efficiency, energy savings and investment in the energy sector; and the fostering of private investment for the development of the energy industry, under the leadership of the State.  The current Secretary of Energy is overseeing a team that will examine the benefits derived from natural gas regulation and will assess mechanisms to foster private investment in natural gas transportation, distribution and marketing.  Three Energy Efficiency Standards (NOM’s) were updated and published.</w:t>
      </w:r>
    </w:p>
    <w:p>
      <w:pPr>
        <w:pStyle w:val="Normal"/>
        <w:rPr>
          <w:spacing w:val="-3"/>
        </w:rPr>
      </w:pPr>
      <w:r>
        <w:rPr>
          <w:spacing w:val="-3"/>
        </w:rPr>
      </w:r>
    </w:p>
    <w:p>
      <w:pPr>
        <w:pStyle w:val="Normal"/>
        <w:rPr/>
      </w:pPr>
      <w:r>
        <w:rPr>
          <w:spacing w:val="-3"/>
        </w:rPr>
        <w:t xml:space="preserve">The </w:t>
      </w:r>
      <w:r>
        <w:rPr>
          <w:b/>
          <w:spacing w:val="-3"/>
        </w:rPr>
        <w:t>Philippine</w:t>
      </w:r>
      <w:r>
        <w:rPr>
          <w:spacing w:val="-3"/>
        </w:rPr>
        <w:t xml:space="preserve"> government has been instituting reforms to enhance its investment climate and to level the playing field in the energy sector.  For example, as of end June 2001, there is a total of 66 players involved in various activities in the downstream oil industry, with a market share reaching 10.4 percent.  The infusion of additional capital from the new players in the industry in the amount of P100 million investment in downstream facilities brought the total investment commitment of the private sector to about P42 billion (US$840 million) over the next five years.  The Government is also promoting its three-year (16 June 2000 until 15 June 2003) “Window of Opportunity” infrastructure development strategy to encourage the exploration of the “Corridor of Focus" which includes offshore areas surrounding Palawan, Sulu Sea and Mindoro.</w:t>
      </w:r>
    </w:p>
    <w:p>
      <w:pPr>
        <w:pStyle w:val="Normal"/>
        <w:ind w:hanging="720" w:start="720" w:end="0"/>
        <w:rPr/>
      </w:pPr>
      <w:r>
        <w:rPr/>
      </w:r>
    </w:p>
    <w:p>
      <w:pPr>
        <w:pStyle w:val="Normal"/>
        <w:rPr/>
      </w:pPr>
      <w:r>
        <w:rPr>
          <w:lang w:val="en-GB"/>
        </w:rPr>
        <w:t xml:space="preserve">The </w:t>
      </w:r>
      <w:r>
        <w:rPr>
          <w:b/>
          <w:lang w:val="en-GB"/>
        </w:rPr>
        <w:t>Singapore</w:t>
      </w:r>
      <w:r>
        <w:rPr>
          <w:lang w:val="en-GB"/>
        </w:rPr>
        <w:t xml:space="preserve"> electricity market is undergoing further liberalisation to implement a market structure and regulatory framework that supports competition while ensuring reliability and security of supply.  The gas industry is undergoing similar restructuring.</w:t>
      </w:r>
    </w:p>
    <w:p>
      <w:pPr>
        <w:pStyle w:val="Normal"/>
        <w:ind w:hanging="720" w:start="720" w:end="0"/>
        <w:rPr>
          <w:lang w:val="en-GB"/>
        </w:rPr>
      </w:pPr>
      <w:r>
        <w:rPr>
          <w:lang w:val="en-GB"/>
        </w:rPr>
      </w:r>
    </w:p>
    <w:p>
      <w:pPr>
        <w:pStyle w:val="Normal"/>
        <w:rPr/>
      </w:pPr>
      <w:r>
        <w:rPr/>
        <w:t xml:space="preserve">In 1973, </w:t>
      </w:r>
      <w:r>
        <w:rPr>
          <w:b/>
        </w:rPr>
        <w:t>Chinese Taipei</w:t>
      </w:r>
      <w:r>
        <w:rPr/>
        <w:t xml:space="preserve"> promulgated an economy-wide energy policy.  That policy has been revised in 1979, 1984, 1990 and 1996 to ensure policy implementation is uniform and transparent.  A meeting was held in 1998 that adopted goals to promote greater use of new and renewable energy and principles of rational energy use.  Chinese Taipei seeks to balance electric power requirements for economic development with environmental protection through the Electricity Law.  The law regulates electricity tariffs except where wholesale providers deliver directly to customers through privately owned grids.  Contestability will be introduced slowly.  Chinese Taipei has upgraded her regulated energy efficiency labelling program for refrigerators, freezers, and motors.  Chinese Taipei is also working with the Asia Pacific Laboratory Accreditation Council (APLAC) to facilitate mutual recognition of technical testing methods and results with participating APEC member economies.</w:t>
      </w:r>
    </w:p>
    <w:p>
      <w:pPr>
        <w:pStyle w:val="Normal"/>
        <w:rPr/>
      </w:pPr>
      <w:r>
        <w:rPr/>
      </w:r>
    </w:p>
    <w:p>
      <w:pPr>
        <w:pStyle w:val="Normal"/>
        <w:rPr/>
      </w:pPr>
      <w:r>
        <w:rPr/>
        <w:t>Chinese Taipei is implementing additional energy efficiency and energy conservation programs with a target of 28 percent in total energy saving over 20 years.  These programs are being carried out in the industrial, transportation, commercial, residential, and power sectors.  The target for total energy saving in 2000 was set as 2,156 KLOE.  Actual savings were 2,735 KLOE, or 26.8% above the target.</w:t>
      </w:r>
    </w:p>
    <w:p>
      <w:pPr>
        <w:pStyle w:val="Normal"/>
        <w:ind w:hanging="720" w:start="720" w:end="0"/>
        <w:rPr/>
      </w:pPr>
      <w:r>
        <w:rPr/>
      </w:r>
    </w:p>
    <w:p>
      <w:pPr>
        <w:pStyle w:val="Normal"/>
        <w:rPr/>
      </w:pPr>
      <w:r>
        <w:rPr/>
        <w:t xml:space="preserve">The </w:t>
      </w:r>
      <w:r>
        <w:rPr>
          <w:b/>
        </w:rPr>
        <w:t>United States</w:t>
      </w:r>
      <w:r>
        <w:rPr/>
        <w:t xml:space="preserve"> has developed a National Energy Policy Report designed to bring together business, government, local communities and citizens to promote dependable, affordable and environmentally sound energy for the future.  The Report includes over 100 proposals for meeting future energy needs.  The policy will be implemented by legislative initiatives and regulatory and administrative actions.  The Report envisions a comprehensive long-term strategy that uses leading edge technology to produce an integrated energy, environmental and economic policy.  It emphasizes the need to modernize conservation, modernize energy infrastructure, increase energy supplies (including from renewable sources), accelerate the protection and improvement of the environment, and increase energy security.</w:t>
      </w:r>
    </w:p>
    <w:p>
      <w:pPr>
        <w:pStyle w:val="Normal"/>
        <w:ind w:hanging="720" w:start="720" w:end="0"/>
        <w:rPr/>
      </w:pPr>
      <w:r>
        <w:rPr/>
      </w:r>
    </w:p>
    <w:p>
      <w:pPr>
        <w:pStyle w:val="Normal"/>
        <w:ind w:hanging="720" w:start="720" w:end="0"/>
        <w:rPr/>
      </w:pPr>
      <w:r>
        <w:rPr/>
      </w:r>
    </w:p>
    <w:p>
      <w:pPr>
        <w:pStyle w:val="BodyText"/>
        <w:ind w:hanging="11" w:end="0"/>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3: Open, efficient and competitive markets for energy services and products, both within and among economies.</w:t>
      </w:r>
    </w:p>
    <w:p>
      <w:pPr>
        <w:pStyle w:val="Normal"/>
        <w:ind w:hanging="720" w:start="720" w:end="0"/>
        <w:rPr>
          <w:rFonts w:ascii="Times New Roman;Times New Roman" w:hAnsi="Times New Roman;Times New Roman" w:cs="Times New Roman;Times New Roman"/>
          <w:b/>
          <w:sz w:val="24"/>
        </w:rPr>
      </w:pPr>
      <w:r>
        <w:rPr>
          <w:rFonts w:cs="Times New Roman;Times New Roman"/>
          <w:b/>
          <w:sz w:val="24"/>
        </w:rPr>
      </w:r>
    </w:p>
    <w:p>
      <w:pPr>
        <w:pStyle w:val="BodyTextIndent"/>
        <w:widowControl/>
        <w:spacing w:before="0" w:after="120"/>
        <w:rPr/>
      </w:pPr>
      <w:r>
        <w:rPr>
          <w:b w:val="false"/>
          <w:lang w:val="es-MX"/>
        </w:rPr>
        <w:t xml:space="preserve">The </w:t>
      </w:r>
      <w:r>
        <w:rPr>
          <w:lang w:val="es-MX"/>
        </w:rPr>
        <w:t>Australian</w:t>
      </w:r>
      <w:r>
        <w:rPr>
          <w:b w:val="false"/>
          <w:lang w:val="es-MX"/>
        </w:rPr>
        <w:t xml:space="preserve"> National Electricity Market (NEM) has been in full operation since December 1998.  While reform in the electricity sector has already delivered considerable economic benefits, the reform process is not yet complete.  Electricity and gas markets have entered a crucial period of transition towards a more fully integrated and competitive national energy market.  While significant scope for further reform remains, considerable progress has been made in a number of areas over the last twelve months.  The meeting of the Council of Australian Governments (CoAG) on 8 June 2001 reaffirmed Governments’ commitment to the principles and timetable for energy market reform.  In addition, Australian Heads of Government have endorsed an independent review of energy market directions to be completed within a twelve month timeframe.  The review will identify impediments to reform, examine the impact of regulatory arrangements on investment, examine ways to improve the efficiency and effectiveness of energy supply markets through increased interconnectivity of gas infrastructure and electricity, and identify future strategic direction for the reform process.  CoAG also agreed to establish a Ministerial Council on Energy to provide national oversight and strategic policy guidance for the continuing reforms within the energy sector.  The Council will oversee the independent review.</w:t>
      </w:r>
    </w:p>
    <w:p>
      <w:pPr>
        <w:pStyle w:val="Normal"/>
        <w:ind w:hanging="720" w:start="720" w:end="0"/>
        <w:rPr>
          <w:b/>
          <w:color w:val="000000"/>
          <w:lang w:val="es-MX"/>
        </w:rPr>
      </w:pPr>
      <w:r>
        <w:rPr>
          <w:b/>
          <w:color w:val="000000"/>
          <w:lang w:val="es-MX"/>
        </w:rPr>
      </w:r>
    </w:p>
    <w:p>
      <w:pPr>
        <w:pStyle w:val="Level1"/>
        <w:tabs>
          <w:tab w:val="clear" w:pos="567"/>
          <w:tab w:val="left" w:pos="-1440" w:leader="none"/>
        </w:tabs>
        <w:ind w:hanging="0" w:start="0" w:end="0"/>
        <w:rPr/>
      </w:pPr>
      <w:r>
        <w:rPr>
          <w:b/>
          <w:lang w:val="en-GB"/>
        </w:rPr>
        <w:t>Cana</w:t>
      </w:r>
      <w:r>
        <w:rPr>
          <w:b/>
          <w:color w:val="000000"/>
          <w:lang w:val="en-GB"/>
        </w:rPr>
        <w:t xml:space="preserve">da’s </w:t>
      </w:r>
      <w:r>
        <w:rPr>
          <w:color w:val="000000"/>
          <w:lang w:val="en-GB"/>
        </w:rPr>
        <w:t xml:space="preserve">energy sector operates primarily on open market principles.  </w:t>
      </w:r>
      <w:r>
        <w:rPr>
          <w:lang w:val="en-GB"/>
        </w:rPr>
        <w:t xml:space="preserve">Governments make selective, focussed interventions where there are perceived market failures, or where objectives would not be met through the market.  Oil and natural gas market liberalization was phased in between 1985 and 1993, when Canada pursued the </w:t>
      </w:r>
      <w:r>
        <w:rPr>
          <w:color w:val="000000"/>
          <w:lang w:val="en-GB"/>
        </w:rPr>
        <w:t>deregulation and restructuring of</w:t>
      </w:r>
      <w:r>
        <w:rPr>
          <w:lang w:val="en-GB"/>
        </w:rPr>
        <w:t xml:space="preserve"> energy markets.  During this period, Canada significantly reduced Foreign Direct Investment restrictions.  These measures have allowed Canada to become extremely competitive in a sector that relies to a large extent on open access to international capital and export markets.  In Canada the electricity sector is regulated at the provincial level.  New technologies that make smaller scale power generation more economic are permitting the introduction of competition in this sector.  The pace of electricity market liberalization varies from one jurisdiction to the next.  The province of Alberta has a full competitive retail market and the province of Ontario will implement one by May 2002.  Export approvals are regulated in Canada as are rate setting in monopoly situations.  Health, safety, and environmental issues are also regulated.  This reflects a balance between economic objectives and the growing importance of market forces, and other sustainable energy objectives of environmental protection, energy reliability, security, and health and safety.</w:t>
      </w:r>
    </w:p>
    <w:p>
      <w:pPr>
        <w:pStyle w:val="Normal"/>
        <w:ind w:hanging="720" w:start="720" w:end="0"/>
        <w:rPr>
          <w:lang w:val="en-GB"/>
        </w:rPr>
      </w:pPr>
      <w:r>
        <w:rPr>
          <w:lang w:val="en-GB"/>
        </w:rPr>
      </w:r>
    </w:p>
    <w:p>
      <w:pPr>
        <w:pStyle w:val="Normal"/>
        <w:rPr/>
      </w:pPr>
      <w:r>
        <w:rPr>
          <w:b/>
        </w:rPr>
        <w:t>Hong Kong, China</w:t>
      </w:r>
      <w:r>
        <w:rPr/>
        <w:t xml:space="preserve"> has an open energy market.  There is no trade or regulatory impediments to energy related investment and Hong Kong, China is examining the feasibility and benefit of encouraging greater competition in the electricity and gas supply market.</w:t>
      </w:r>
    </w:p>
    <w:p>
      <w:pPr>
        <w:pStyle w:val="Normal"/>
        <w:ind w:hanging="720" w:start="720" w:end="0"/>
        <w:rPr/>
      </w:pPr>
      <w:r>
        <w:rPr/>
      </w:r>
    </w:p>
    <w:p>
      <w:pPr>
        <w:pStyle w:val="Normal"/>
        <w:rPr/>
      </w:pPr>
      <w:r>
        <w:rPr>
          <w:b/>
        </w:rPr>
        <w:t>Japan</w:t>
      </w:r>
      <w:r>
        <w:rPr/>
        <w:t xml:space="preserve"> has been attempting to introduce further competition into the electricity market and has been re-examining the electricity rate system and the deregulation of requirements for establishing rates in the unregulated sector.  The revised Electricity Utility Industry Law and related rules, which include liberalization of the retail supply to extra-high voltage customers and the  introduction of a new rate system, were entered into force in March 2000.  The Ministry of Economy, Trade and Industry will monitor the electricity market to secure fair competition, especially examining the prices in the liberalized sector, consulting, and resolving conflicts.</w:t>
      </w:r>
    </w:p>
    <w:p>
      <w:pPr>
        <w:pStyle w:val="Normal"/>
        <w:rPr>
          <w:b/>
          <w:i/>
          <w:i/>
        </w:rPr>
      </w:pPr>
      <w:r>
        <w:rPr/>
        <w:t>Japan has been attempting to introduce further competition into the gas market and also re-examining the gas rate system. The revised Gas Utility Industry Law and related rules, which include expansion of the scope of liberalization of the retail supply and re-examination of regulatory procedures for reducing gas rates, were entered into force in November 1999.  Japan abolished the Provisional Measures Law on the Importation of Specific Petroleum Refined Products in March 1996 to liberalize the importation of petroleum refined products.  Japan decided to abolish the regulations concerning supply and demand adjustments in the oil-refining industry during non-crisis periods.  Necessary amendments of the laws were made.  The revised laws including the abolishment of the Petroleum Law will enter into force in January 2002.</w:t>
      </w:r>
      <w:r>
        <w:rPr>
          <w:color w:val="FF0000"/>
        </w:rPr>
        <w:t xml:space="preserve"> </w:t>
      </w:r>
    </w:p>
    <w:p>
      <w:pPr>
        <w:pStyle w:val="Level1"/>
        <w:tabs>
          <w:tab w:val="clear" w:pos="567"/>
          <w:tab w:val="left" w:pos="-1440" w:leader="none"/>
        </w:tabs>
        <w:ind w:hanging="0" w:start="0" w:end="0"/>
        <w:rPr>
          <w:b/>
          <w:i/>
          <w:i/>
          <w:lang w:val="en-GB"/>
        </w:rPr>
      </w:pPr>
      <w:r>
        <w:rPr>
          <w:b/>
          <w:i/>
          <w:lang w:val="en-GB"/>
        </w:rPr>
      </w:r>
    </w:p>
    <w:p>
      <w:pPr>
        <w:pStyle w:val="Level1"/>
        <w:tabs>
          <w:tab w:val="clear" w:pos="567"/>
          <w:tab w:val="left" w:pos="-1440" w:leader="none"/>
        </w:tabs>
        <w:ind w:hanging="0" w:start="0" w:end="0"/>
        <w:rPr/>
      </w:pPr>
      <w:r>
        <w:rPr>
          <w:lang w:val="en-GB"/>
        </w:rPr>
        <w:t xml:space="preserve">In </w:t>
      </w:r>
      <w:r>
        <w:rPr>
          <w:b/>
          <w:lang w:val="en-GB"/>
        </w:rPr>
        <w:t>Korea</w:t>
      </w:r>
      <w:r>
        <w:rPr>
          <w:lang w:val="en-GB"/>
        </w:rPr>
        <w:t xml:space="preserve"> programs of deregulation and privatisation for the Korean power industry have been commenced, and part of the plan has already been implemented. The Korea Electric Power Corporation (KEPCO)’s generation assets were divided into six companies for divestment and/or privatisation. The Korea Power Exchange and the Korean Power Commission were established in April, 2001. The restructuring plan envisages a gradual transition to retail competition in 2009, through the introduction of wholesale competition from 2003. Korea has also actively promoted restructuring and privatisation of the natural gas industry. In this regard, Korea established a detailed plan for natural gas industry restructuring in August, 2001. According to this plan, the import and wholesale business of natural gas which the Korea Gas Corporation (KOGAS) has monopolized will be split and sold off by the end of 2002. In order to implement the plan KOGAS will be divided into three companies and “City Gas Business Law” will be revised this year.</w:t>
      </w:r>
    </w:p>
    <w:p>
      <w:pPr>
        <w:pStyle w:val="Normal"/>
        <w:ind w:hanging="720" w:start="720" w:end="0"/>
        <w:rPr>
          <w:b/>
          <w:lang w:val="en-GB"/>
        </w:rPr>
      </w:pPr>
      <w:r>
        <w:rPr>
          <w:b/>
          <w:lang w:val="en-GB"/>
        </w:rPr>
      </w:r>
    </w:p>
    <w:p>
      <w:pPr>
        <w:pStyle w:val="Normal"/>
        <w:rPr/>
      </w:pPr>
      <w:r>
        <w:rPr/>
        <w:t xml:space="preserve">In </w:t>
      </w:r>
      <w:r>
        <w:rPr>
          <w:b/>
        </w:rPr>
        <w:t>Mexico</w:t>
      </w:r>
      <w:r>
        <w:rPr/>
        <w:t xml:space="preserve"> the Energy Regulatory Commission (CRE) is in charge of regulating the electricity and gas industries with the objective of promoting productive investment and the efficient performance of these markets to benefit users.  The following permits have been bestowed to the private sector to date: </w:t>
      </w:r>
    </w:p>
    <w:p>
      <w:pPr>
        <w:pStyle w:val="Heading7"/>
        <w:ind w:hanging="720" w:start="720" w:end="0"/>
        <w:jc w:val="start"/>
        <w:rPr>
          <w:rFonts w:ascii="Times New Roman;Times New Roman" w:hAnsi="Times New Roman;Times New Roman" w:cs="Times New Roman;Times New Roman"/>
          <w:u w:val="none"/>
        </w:rPr>
      </w:pPr>
      <w:r>
        <w:rPr>
          <w:rFonts w:cs="Times New Roman;Times New Roman" w:ascii="Times New Roman;Times New Roman" w:hAnsi="Times New Roman;Times New Roman"/>
          <w:u w:val="none"/>
        </w:rPr>
      </w:r>
      <w:r>
        <w:br w:type="page"/>
      </w:r>
    </w:p>
    <w:p>
      <w:pPr>
        <w:pStyle w:val="Normal"/>
        <w:rPr>
          <w:u w:val="single"/>
        </w:rPr>
      </w:pPr>
      <w:r>
        <w:rPr>
          <w:u w:val="single"/>
        </w:rPr>
        <w:t>Power generation (1994-2001):</w:t>
      </w:r>
    </w:p>
    <w:p>
      <w:pPr>
        <w:pStyle w:val="Normal"/>
        <w:rPr/>
      </w:pPr>
      <w:r>
        <w:rPr/>
        <w:t>Self-supply</w:t>
        <w:tab/>
        <w:tab/>
        <w:tab/>
        <w:t>124</w:t>
      </w:r>
    </w:p>
    <w:p>
      <w:pPr>
        <w:pStyle w:val="Normal"/>
        <w:rPr/>
      </w:pPr>
      <w:r>
        <w:rPr/>
        <w:t>IPP’s</w:t>
        <w:tab/>
        <w:tab/>
        <w:tab/>
        <w:tab/>
        <w:t xml:space="preserve">  13</w:t>
      </w:r>
    </w:p>
    <w:p>
      <w:pPr>
        <w:pStyle w:val="Normal"/>
        <w:rPr/>
      </w:pPr>
      <w:r>
        <w:rPr/>
        <w:t>Cogeneration</w:t>
        <w:tab/>
        <w:tab/>
        <w:t xml:space="preserve">  37</w:t>
      </w:r>
    </w:p>
    <w:p>
      <w:pPr>
        <w:pStyle w:val="Normal"/>
        <w:rPr/>
      </w:pPr>
      <w:r>
        <w:rPr/>
        <w:t>Import</w:t>
        <w:tab/>
        <w:tab/>
        <w:tab/>
        <w:t xml:space="preserve">    7</w:t>
      </w:r>
    </w:p>
    <w:p>
      <w:pPr>
        <w:pStyle w:val="Normal"/>
        <w:rPr/>
      </w:pPr>
      <w:r>
        <w:rPr/>
        <w:t>Export</w:t>
        <w:tab/>
        <w:tab/>
        <w:tab/>
        <w:t xml:space="preserve">    2</w:t>
      </w:r>
    </w:p>
    <w:p>
      <w:pPr>
        <w:pStyle w:val="Normal"/>
        <w:ind w:hanging="720" w:start="720" w:end="0"/>
        <w:rPr/>
      </w:pPr>
      <w:r>
        <w:rPr/>
      </w:r>
    </w:p>
    <w:p>
      <w:pPr>
        <w:pStyle w:val="Normal"/>
        <w:rPr/>
      </w:pPr>
      <w:r>
        <w:rPr/>
      </w:r>
    </w:p>
    <w:p>
      <w:pPr>
        <w:pStyle w:val="Normal"/>
        <w:rPr>
          <w:u w:val="single"/>
        </w:rPr>
      </w:pPr>
      <w:r>
        <w:rPr>
          <w:u w:val="single"/>
        </w:rPr>
        <w:t>Natural gas (1996-2001):</w:t>
      </w:r>
    </w:p>
    <w:p>
      <w:pPr>
        <w:pStyle w:val="Normal"/>
        <w:rPr/>
      </w:pPr>
      <w:r>
        <w:rPr/>
        <w:t>Transportation</w:t>
        <w:tab/>
        <w:tab/>
        <w:t xml:space="preserve">82 </w:t>
        <w:tab/>
        <w:t>(Self-supply 64 and Service to the public-open access 18)</w:t>
      </w:r>
    </w:p>
    <w:p>
      <w:pPr>
        <w:pStyle w:val="Normal"/>
        <w:rPr/>
      </w:pPr>
      <w:r>
        <w:rPr/>
        <w:t>Distribution</w:t>
        <w:tab/>
        <w:tab/>
        <w:t>21</w:t>
      </w:r>
    </w:p>
    <w:p>
      <w:pPr>
        <w:pStyle w:val="Normal"/>
        <w:ind w:hanging="720" w:start="720" w:end="0"/>
        <w:rPr/>
      </w:pPr>
      <w:r>
        <w:rPr/>
      </w:r>
    </w:p>
    <w:p>
      <w:pPr>
        <w:pStyle w:val="BodyTextIndent2"/>
        <w:ind w:start="0" w:end="0"/>
        <w:jc w:val="start"/>
        <w:rPr>
          <w:rFonts w:ascii="Times New Roman;Times New Roman" w:hAnsi="Times New Roman;Times New Roman" w:cs="Times New Roman;Times New Roman"/>
        </w:rPr>
      </w:pPr>
      <w:r>
        <w:rPr>
          <w:rFonts w:cs="Times New Roman;Times New Roman" w:ascii="Times New Roman;Times New Roman" w:hAnsi="Times New Roman;Times New Roman"/>
        </w:rPr>
        <w:t>It is important to underline that conditions for private participation in IPP’s have become more flexible.  Particularly, producers are allowed to construct surplus capacity, over that required by the Electricity Federal Commission (CFE), while the contract is in force.  Mexico’s energy policy defines objectives of reform of the regulatory framework for the hydrocarbon and electric sectors, and fostering of private investment for development of the energy industry, while maintaining the ruling role of the State and property and asset ownership arrangements.</w:t>
      </w:r>
    </w:p>
    <w:p>
      <w:pPr>
        <w:pStyle w:val="Normal"/>
        <w:rPr>
          <w:rFonts w:ascii="Times New Roman;Times New Roman" w:hAnsi="Times New Roman;Times New Roman" w:cs="Times New Roman;Times New Roman"/>
        </w:rPr>
      </w:pPr>
      <w:r>
        <w:rPr>
          <w:rFonts w:cs="Times New Roman;Times New Roman"/>
        </w:rPr>
      </w:r>
    </w:p>
    <w:p>
      <w:pPr>
        <w:pStyle w:val="Normal"/>
        <w:rPr/>
      </w:pPr>
      <w:r>
        <w:rPr>
          <w:spacing w:val="-3"/>
        </w:rPr>
        <w:t xml:space="preserve">The </w:t>
      </w:r>
      <w:r>
        <w:rPr>
          <w:b/>
          <w:spacing w:val="-3"/>
        </w:rPr>
        <w:t>Philippines</w:t>
      </w:r>
      <w:r>
        <w:rPr>
          <w:spacing w:val="-3"/>
        </w:rPr>
        <w:t xml:space="preserve"> introduced the "</w:t>
      </w:r>
      <w:r>
        <w:rPr>
          <w:i/>
          <w:spacing w:val="-3"/>
        </w:rPr>
        <w:t>Electric Power Industry Reform Act of 2001</w:t>
      </w:r>
      <w:r>
        <w:rPr>
          <w:spacing w:val="-3"/>
        </w:rPr>
        <w:t>" (effective on 26 June 2001) to provide the framework for the restructuring of the Philippine electric power industry and privatization of the state-owned National Power Corporation (NPC) with the intent of creating a competitive environment that will encourage efficiency and reliability in the production and delivery of electricity.  The government is creating a number of institutions to support the establishment of the competitive environment, including a National Transmission Company (TRANSCO) to manage the transmission and sub-transmission assets of NPC, a Wholesale Electricity Spot Market (WESM) and an Energy Regulatory Commission (ERC).</w:t>
      </w:r>
    </w:p>
    <w:p>
      <w:pPr>
        <w:pStyle w:val="Normal"/>
        <w:tabs>
          <w:tab w:val="clear" w:pos="567"/>
          <w:tab w:val="left" w:pos="-720" w:leader="none"/>
          <w:tab w:val="left" w:pos="0" w:leader="none"/>
        </w:tabs>
        <w:suppressAutoHyphens w:val="true"/>
        <w:ind w:hanging="720" w:start="720" w:end="0"/>
        <w:rPr>
          <w:spacing w:val="-3"/>
        </w:rPr>
      </w:pPr>
      <w:r>
        <w:rPr>
          <w:spacing w:val="-3"/>
        </w:rPr>
      </w:r>
    </w:p>
    <w:p>
      <w:pPr>
        <w:pStyle w:val="Normal"/>
        <w:tabs>
          <w:tab w:val="clear" w:pos="567"/>
          <w:tab w:val="left" w:pos="-720" w:leader="none"/>
          <w:tab w:val="left" w:pos="0" w:leader="none"/>
        </w:tabs>
        <w:suppressAutoHyphens w:val="true"/>
        <w:rPr/>
      </w:pPr>
      <w:r>
        <w:rPr>
          <w:spacing w:val="-3"/>
        </w:rPr>
        <w:t>The Philippines downstream oil industry sector operates under the "</w:t>
      </w:r>
      <w:r>
        <w:rPr>
          <w:i/>
          <w:spacing w:val="-3"/>
        </w:rPr>
        <w:t>Downstream Oil Industry Deregulation Act of 1998</w:t>
      </w:r>
      <w:r>
        <w:rPr>
          <w:spacing w:val="-3"/>
        </w:rPr>
        <w:t>".  The law ensures a competitive market under a regime of fair prices with adequate and continuous supply of environmentally-clean and high quality petroleum products. With the deregulation of the downstream oil industry, government's role now is more on policy-setting direction and ensuring consumer protection, such as the promotion of fair trade practices, security of domestic oil supply, public health and safety, product quality and facility standards, quality and environmental protection.</w:t>
      </w:r>
    </w:p>
    <w:p>
      <w:pPr>
        <w:pStyle w:val="Normal"/>
        <w:rPr>
          <w:spacing w:val="-3"/>
        </w:rPr>
      </w:pPr>
      <w:r>
        <w:rPr>
          <w:spacing w:val="-3"/>
        </w:rPr>
      </w:r>
    </w:p>
    <w:p>
      <w:pPr>
        <w:pStyle w:val="Normal"/>
        <w:rPr/>
      </w:pPr>
      <w:r>
        <w:rPr>
          <w:b/>
        </w:rPr>
        <w:t>Russia</w:t>
      </w:r>
      <w:r>
        <w:rPr/>
        <w:t xml:space="preserve"> has endorsed a package of reforms of the Electricity sector titled "Russian Energy Strategy to 2020".  This will address existing issues surrounding the operation of the federal wholesale electricity market and pricing inconsistencies.</w:t>
      </w:r>
    </w:p>
    <w:p>
      <w:pPr>
        <w:pStyle w:val="Normal"/>
        <w:rPr>
          <w:lang w:val="en-GB"/>
        </w:rPr>
      </w:pPr>
      <w:r>
        <w:rPr>
          <w:lang w:val="en-GB"/>
        </w:rPr>
      </w:r>
    </w:p>
    <w:p>
      <w:pPr>
        <w:pStyle w:val="Normal"/>
        <w:rPr/>
      </w:pPr>
      <w:r>
        <w:rPr>
          <w:lang w:val="en-GB"/>
        </w:rPr>
        <w:t xml:space="preserve">On 1 April 1998, </w:t>
      </w:r>
      <w:r>
        <w:rPr>
          <w:b/>
          <w:lang w:val="en-GB"/>
        </w:rPr>
        <w:t>Singapore</w:t>
      </w:r>
      <w:r>
        <w:rPr>
          <w:lang w:val="en-GB"/>
        </w:rPr>
        <w:t xml:space="preserve"> established the Singapore Electricity Pool which is operated as a wholesale electricity market to facilitate the trading of electricity between generation and retail companies in a competitive environment.  As part of the restructuring of the electricity industry, the contestable and non-contestable sectors have been separated at the ownership level to ensure a level playing field for all industry players.  The retail electricity market is also being liberalised in phases to allow consumers to buy electricity from retailers of their choice.  The gas industry is being restructured by separating the ownership of the gas transportation business, which is a natural monopoly, from the contestable sectors of gas import, trading and retailing.</w:t>
      </w:r>
    </w:p>
    <w:p>
      <w:pPr>
        <w:pStyle w:val="Normal"/>
        <w:rPr>
          <w:lang w:val="en-GB"/>
        </w:rPr>
      </w:pPr>
      <w:r>
        <w:rPr>
          <w:lang w:val="en-GB"/>
        </w:rPr>
      </w:r>
    </w:p>
    <w:p>
      <w:pPr>
        <w:pStyle w:val="Normal"/>
        <w:rPr/>
      </w:pPr>
      <w:r>
        <w:rPr/>
        <w:t xml:space="preserve">In 1987, </w:t>
      </w:r>
      <w:r>
        <w:rPr>
          <w:b/>
        </w:rPr>
        <w:t>Chinese Taipei</w:t>
      </w:r>
      <w:r>
        <w:rPr/>
        <w:t xml:space="preserve"> started to liberalize its energy market, with the goal of achieving improved market efficiency brought about by fair competition.  Establishment of privately owned gas stations to sell motor gasoline and diesel fuels was allowed.  In 1996, petroleum refining, import, export and retail industries were also opened to private refining enterprises.  Import of fuel oil, jet fuel and LPG was opened to private enterprises in January 1999.  Three new companies, besides Chinese Petroleum Corporation (CPC), have received permits from the government to import LPG.  Also, the first stage of Formosa Petrochemical Corporation’s oil refinery facility, the first private refinery, went into commercial production in August 2000.  The domestic oil market is now strongly competitive.  Full liberalization of petroleum product  imports will be effected after the approval of Petroleum Administration Law is promulgated.  The draft of the Petroleum Administration Law will go through final approval soon.  This will allow government-owned Chinese Petroleum Corporation to start its process of privatization.  The electricity market in Chinese Taipei has also begun the process of reform.  Measures include separation of the generation, transmission, and distribution segments of the industry.  Development of additional generating capacity has been obstructed in recent years and the rate of reserve capacity has remained below the desired 15-20 percent since 1990.  To remedy this problem the Ministry of Economic Affairs (MOEA) has opened the industry to competition by private enterprise.  The goal is to achieve a competitive business environment, a stable electricity market, and a liberalized power industry.  All of the IPP licenses are granted by procedures consistent with the best practice principles developed by the APEC EWG initiatives.</w:t>
      </w:r>
    </w:p>
    <w:p>
      <w:pPr>
        <w:pStyle w:val="Normal"/>
        <w:tabs>
          <w:tab w:val="clear" w:pos="567"/>
          <w:tab w:val="left" w:pos="840" w:leader="none"/>
        </w:tabs>
        <w:rPr/>
      </w:pPr>
      <w:r>
        <w:rPr/>
      </w:r>
    </w:p>
    <w:p>
      <w:pPr>
        <w:pStyle w:val="Level1"/>
        <w:ind w:hanging="0" w:start="0" w:end="0"/>
        <w:rPr/>
      </w:pPr>
      <w:r>
        <w:rPr/>
        <w:t xml:space="preserve">The </w:t>
      </w:r>
      <w:r>
        <w:rPr>
          <w:b/>
        </w:rPr>
        <w:t>United States</w:t>
      </w:r>
      <w:r>
        <w:rPr/>
        <w:t xml:space="preserve"> National Energy Policy Report supports competitive energy markets.  For instance, a key requirement for effective electricity competition and reliable power supply is the assurance of adequate transmission capacity over which generators can compete.  The Report recommends the examination of the benefits of establishing a national transmission grid using the latest in high technology, the identification of measures to remove transmission bottlenecks, and encouragement of investment in new transmission lines.</w:t>
      </w:r>
    </w:p>
    <w:p>
      <w:pPr>
        <w:pStyle w:val="Normal"/>
        <w:ind w:hanging="720" w:start="720" w:end="0"/>
        <w:rPr/>
      </w:pPr>
      <w:r>
        <w:rPr/>
      </w:r>
    </w:p>
    <w:p>
      <w:pPr>
        <w:pStyle w:val="Normal"/>
        <w:ind w:hanging="720" w:start="720" w:end="0"/>
        <w:rPr/>
      </w:pPr>
      <w:r>
        <w:rPr/>
      </w:r>
    </w:p>
    <w:p>
      <w:pPr>
        <w:pStyle w:val="BodyText"/>
        <w:ind w:hanging="11" w:end="0"/>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4: Energy pricing principles and practices of member economies which:  (a) reflect the economic cost of supplying and using energy across the full cycle of energy assets and infrastructure: and (b) have regard to environmental impacts.</w:t>
      </w:r>
    </w:p>
    <w:p>
      <w:pPr>
        <w:pStyle w:val="Normal"/>
        <w:ind w:hanging="720" w:start="720" w:end="0"/>
        <w:rPr>
          <w:rFonts w:ascii="Times New Roman;Times New Roman" w:hAnsi="Times New Roman;Times New Roman" w:cs="Times New Roman;Times New Roman"/>
          <w:b/>
          <w:sz w:val="24"/>
        </w:rPr>
      </w:pPr>
      <w:r>
        <w:rPr>
          <w:rFonts w:cs="Times New Roman;Times New Roman"/>
          <w:b/>
          <w:sz w:val="24"/>
        </w:rPr>
      </w:r>
    </w:p>
    <w:p>
      <w:pPr>
        <w:pStyle w:val="Level1"/>
        <w:tabs>
          <w:tab w:val="clear" w:pos="567"/>
          <w:tab w:val="left" w:pos="-1440" w:leader="none"/>
        </w:tabs>
        <w:ind w:hanging="0" w:start="0" w:end="0"/>
        <w:rPr/>
      </w:pPr>
      <w:r>
        <w:rPr>
          <w:b/>
          <w:lang w:val="en-GB"/>
        </w:rPr>
        <w:t>In Canada</w:t>
      </w:r>
      <w:r>
        <w:rPr>
          <w:lang w:val="en-GB"/>
        </w:rPr>
        <w:t xml:space="preserve"> most energy prices are established and investments are guided by competitive and freely functioning energy markets.  To achieve environmental goals, product charges/taxes and deposit refund systems tend to be the most frequently used instruments and are used by all levels of government in Canada.  Consumers who purchase more fuel efficient vehicles benefit from a reduction in excise tax.  Alternative fuels, such as ethanol, propane, compressed natural gas, and methanol, are exempted from federal excise tax.  For blended fuels, the tax exemption applies only to the proportion of the exempt fuel in the product.  Recent changes in the federal tax system support sustainable energy efforts related to climate change, renewable energy, and energy conservation.  These include recent increases in the capital cost allowance for some electrical field equipment in use in oilfields, and the accelerated capital cost allowances provided to various energy efficiency and renewable energy technologies. </w:t>
      </w:r>
    </w:p>
    <w:p>
      <w:pPr>
        <w:pStyle w:val="BodyText"/>
        <w:jc w:val="start"/>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BodyText"/>
        <w:jc w:val="start"/>
        <w:rPr/>
      </w:pPr>
      <w:r>
        <w:rPr>
          <w:rFonts w:cs="Times New Roman;Times New Roman" w:ascii="Times New Roman;Times New Roman" w:hAnsi="Times New Roman;Times New Roman"/>
          <w:sz w:val="24"/>
        </w:rPr>
        <w:t xml:space="preserve">In </w:t>
      </w:r>
      <w:r>
        <w:rPr>
          <w:rFonts w:cs="Times New Roman;Times New Roman" w:ascii="Times New Roman;Times New Roman" w:hAnsi="Times New Roman;Times New Roman"/>
          <w:b/>
          <w:sz w:val="24"/>
        </w:rPr>
        <w:t>Hong Kong, China</w:t>
      </w:r>
      <w:r>
        <w:rPr>
          <w:rFonts w:cs="Times New Roman;Times New Roman" w:ascii="Times New Roman;Times New Roman" w:hAnsi="Times New Roman;Times New Roman"/>
          <w:sz w:val="24"/>
        </w:rPr>
        <w:t xml:space="preserve"> the energy supply industries are investor owned and do not operate on a franchise basis.  There are no energy subsidies and the costs of compliance with environmental protection requirements are reflected in the price of the final energy products.</w:t>
      </w:r>
    </w:p>
    <w:p>
      <w:pPr>
        <w:pStyle w:val="Normal"/>
        <w:ind w:hanging="720" w:start="720" w:end="0"/>
        <w:rPr>
          <w:rFonts w:ascii="Times New Roman;Times New Roman" w:hAnsi="Times New Roman;Times New Roman" w:cs="Times New Roman;Times New Roman"/>
          <w:sz w:val="24"/>
        </w:rPr>
      </w:pPr>
      <w:r>
        <w:rPr>
          <w:rFonts w:cs="Times New Roman;Times New Roman"/>
          <w:sz w:val="24"/>
        </w:rPr>
      </w:r>
    </w:p>
    <w:p>
      <w:pPr>
        <w:pStyle w:val="Level1"/>
        <w:tabs>
          <w:tab w:val="clear" w:pos="567"/>
          <w:tab w:val="left" w:pos="-1440" w:leader="none"/>
        </w:tabs>
        <w:ind w:hanging="0" w:start="0" w:end="0"/>
        <w:rPr/>
      </w:pPr>
      <w:r>
        <w:rPr>
          <w:lang w:val="en-GB"/>
        </w:rPr>
        <w:t>In</w:t>
      </w:r>
      <w:r>
        <w:rPr>
          <w:b/>
          <w:lang w:val="en-GB"/>
        </w:rPr>
        <w:t xml:space="preserve"> Korea,</w:t>
      </w:r>
      <w:r>
        <w:rPr>
          <w:lang w:val="en-GB"/>
        </w:rPr>
        <w:t xml:space="preserve"> energy tax reform has been implemented. The objectives of the reform are (1) establishing a transparent set of taxing principles, in order to internalise externalities associated with energy consumption, such as environmental pollution, traffic congestion and energy security concerns; and (2) seeking stabilization of energy supply and soundness of fiscal budget.</w:t>
      </w:r>
    </w:p>
    <w:p>
      <w:pPr>
        <w:pStyle w:val="BodyText"/>
        <w:jc w:val="start"/>
        <w:rPr>
          <w:rFonts w:ascii="Times New Roman;Times New Roman" w:hAnsi="Times New Roman;Times New Roman" w:cs="Times New Roman;Times New Roman"/>
          <w:sz w:val="24"/>
          <w:lang w:val="en-GB"/>
        </w:rPr>
      </w:pPr>
      <w:r>
        <w:rPr>
          <w:rFonts w:cs="Times New Roman;Times New Roman" w:ascii="Times New Roman;Times New Roman" w:hAnsi="Times New Roman;Times New Roman"/>
          <w:sz w:val="24"/>
          <w:lang w:val="en-GB"/>
        </w:rPr>
      </w:r>
    </w:p>
    <w:p>
      <w:pPr>
        <w:pStyle w:val="BodyText"/>
        <w:jc w:val="start"/>
        <w:rPr/>
      </w:pPr>
      <w:r>
        <w:rPr>
          <w:rFonts w:cs="Times New Roman;Times New Roman" w:ascii="Times New Roman;Times New Roman" w:hAnsi="Times New Roman;Times New Roman"/>
          <w:sz w:val="24"/>
        </w:rPr>
        <w:t xml:space="preserve">In 1996, in </w:t>
      </w:r>
      <w:r>
        <w:rPr>
          <w:rFonts w:cs="Times New Roman;Times New Roman" w:ascii="Times New Roman;Times New Roman" w:hAnsi="Times New Roman;Times New Roman"/>
          <w:b/>
          <w:sz w:val="24"/>
        </w:rPr>
        <w:t>Mexico</w:t>
      </w:r>
      <w:r>
        <w:rPr>
          <w:rFonts w:cs="Times New Roman;Times New Roman" w:ascii="Times New Roman;Times New Roman" w:hAnsi="Times New Roman;Times New Roman"/>
          <w:sz w:val="24"/>
        </w:rPr>
        <w:t xml:space="preserve"> the Electricity Savings Trust (FIDE) started to implement a ‘Successful Incentives and Market Transformation Program’.  The Program’s main objective is to reduce electricity demand by providing incentives to industrial, commercial and residential energy users in the purchase and installation of high-efficiency equipment. </w:t>
      </w:r>
    </w:p>
    <w:p>
      <w:pPr>
        <w:pStyle w:val="BodyText"/>
        <w:tabs>
          <w:tab w:val="clear" w:pos="567"/>
          <w:tab w:val="left" w:pos="360" w:leader="none"/>
        </w:tabs>
        <w:ind w:hanging="720" w:start="720" w:end="0"/>
        <w:jc w:val="start"/>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rPr/>
      </w:pPr>
      <w:r>
        <w:rPr>
          <w:lang w:val="en-GB"/>
        </w:rPr>
        <w:t xml:space="preserve">In </w:t>
      </w:r>
      <w:r>
        <w:rPr>
          <w:b/>
          <w:lang w:val="en-GB"/>
        </w:rPr>
        <w:t>Singapore</w:t>
      </w:r>
      <w:r>
        <w:rPr>
          <w:lang w:val="en-GB"/>
        </w:rPr>
        <w:t>, there are no energy subsidies.</w:t>
      </w:r>
    </w:p>
    <w:p>
      <w:pPr>
        <w:pStyle w:val="Normal"/>
        <w:ind w:hanging="720" w:start="720" w:end="0"/>
        <w:rPr>
          <w:lang w:val="en-GB"/>
        </w:rPr>
      </w:pPr>
      <w:r>
        <w:rPr>
          <w:lang w:val="en-GB"/>
        </w:rPr>
      </w:r>
    </w:p>
    <w:p>
      <w:pPr>
        <w:pStyle w:val="Normal"/>
        <w:ind w:hanging="720" w:start="720" w:end="0"/>
        <w:rPr>
          <w:lang w:val="en-GB"/>
        </w:rPr>
      </w:pPr>
      <w:r>
        <w:rPr>
          <w:lang w:val="en-GB"/>
        </w:rPr>
      </w:r>
    </w:p>
    <w:p>
      <w:pPr>
        <w:pStyle w:val="BodyText"/>
        <w:ind w:hanging="11" w:end="0"/>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5: Non-discriminatory, transparent and predictable policy, regulatory, environmental and administrative regimes in the energy sectors of member economies.</w:t>
      </w:r>
    </w:p>
    <w:p>
      <w:pPr>
        <w:pStyle w:val="Normal"/>
        <w:ind w:hanging="720" w:start="720" w:end="0"/>
        <w:rPr>
          <w:rFonts w:ascii="Times New Roman;Times New Roman" w:hAnsi="Times New Roman;Times New Roman" w:cs="Times New Roman;Times New Roman"/>
          <w:b/>
          <w:sz w:val="24"/>
        </w:rPr>
      </w:pPr>
      <w:r>
        <w:rPr>
          <w:rFonts w:cs="Times New Roman;Times New Roman"/>
          <w:b/>
          <w:sz w:val="24"/>
        </w:rPr>
      </w:r>
    </w:p>
    <w:p>
      <w:pPr>
        <w:pStyle w:val="Normal"/>
        <w:rPr/>
      </w:pPr>
      <w:r>
        <w:rPr>
          <w:lang w:val="en-GB"/>
        </w:rPr>
        <w:t xml:space="preserve">In </w:t>
      </w:r>
      <w:r>
        <w:rPr>
          <w:b/>
          <w:lang w:val="en-GB"/>
        </w:rPr>
        <w:t>Canada</w:t>
      </w:r>
      <w:r>
        <w:rPr>
          <w:lang w:val="en-GB"/>
        </w:rPr>
        <w:t xml:space="preserve"> policies are made public through publication</w:t>
      </w:r>
      <w:r>
        <w:rPr>
          <w:color w:val="000000"/>
          <w:lang w:val="en-GB"/>
        </w:rPr>
        <w:t xml:space="preserve">s which are, for the most part, free of charge.  </w:t>
      </w:r>
      <w:r>
        <w:rPr>
          <w:lang w:val="en-GB"/>
        </w:rPr>
        <w:t>Via different forums such as the World Trade Organisation (WTO), the North America Free Trade Agreement (NAFTA), APEC and others, Canada remains transparent toward its trading partners.  Canada develops agreements with its provinces and territories to delegate or administratively share responsibility for resource development.  Canada recognizes that open access makes new regulatory approaches necessary.  For natural gas, which has entered a period of significant pipeline expansion and construction, the regulatory system is being challenged to examine new approaches to pipeline regulation.  Federal and Provincial energy ministers have established a working group to advise on system reliability issues in the emerging North American-wide electricity market.  Canada provides for the development of safety and performance standards and disseminates reliable information to consumers and assesses economic and environment aspects of renewable sources of energy.</w:t>
      </w:r>
    </w:p>
    <w:p>
      <w:pPr>
        <w:pStyle w:val="Level1"/>
        <w:tabs>
          <w:tab w:val="clear" w:pos="567"/>
          <w:tab w:val="left" w:pos="-1440" w:leader="none"/>
        </w:tabs>
        <w:ind w:hanging="0" w:start="0" w:end="0"/>
        <w:rPr>
          <w:lang w:val="en-GB"/>
        </w:rPr>
      </w:pPr>
      <w:r>
        <w:rPr>
          <w:lang w:val="en-GB"/>
        </w:rPr>
      </w:r>
    </w:p>
    <w:p>
      <w:pPr>
        <w:pStyle w:val="Level1"/>
        <w:tabs>
          <w:tab w:val="clear" w:pos="567"/>
          <w:tab w:val="left" w:pos="-1440" w:leader="none"/>
        </w:tabs>
        <w:ind w:hanging="0" w:start="0" w:end="0"/>
        <w:rPr>
          <w:lang w:val="en-GB"/>
        </w:rPr>
      </w:pPr>
      <w:r>
        <w:rPr>
          <w:b/>
        </w:rPr>
        <w:t>Hong Kong, China</w:t>
      </w:r>
      <w:r>
        <w:rPr/>
        <w:t xml:space="preserve"> has no trade or regulatory impediments to energy related investment.  A mix of market based and regulatory policies in the energy sector is adopted that let the market forces  guide the operation of private sectors that supply energy to the community.</w:t>
      </w:r>
    </w:p>
    <w:p>
      <w:pPr>
        <w:pStyle w:val="Level1"/>
        <w:widowControl/>
        <w:rPr>
          <w:lang w:val="en-AU"/>
        </w:rPr>
      </w:pPr>
      <w:r>
        <w:rPr>
          <w:lang w:val="en-AU"/>
        </w:rPr>
      </w:r>
    </w:p>
    <w:p>
      <w:pPr>
        <w:pStyle w:val="Normal"/>
        <w:rPr>
          <w:lang w:val="en-GB"/>
        </w:rPr>
      </w:pPr>
      <w:r>
        <w:rPr>
          <w:b/>
        </w:rPr>
        <w:t xml:space="preserve">Korea </w:t>
      </w:r>
      <w:r>
        <w:rPr/>
        <w:t>has no trade or regulatory impediments to internal and foreign investment in the energy sector.</w:t>
      </w:r>
    </w:p>
    <w:p>
      <w:pPr>
        <w:pStyle w:val="Normal"/>
        <w:rPr>
          <w:lang w:val="en-GB"/>
        </w:rPr>
      </w:pPr>
      <w:r>
        <w:rPr>
          <w:lang w:val="en-GB"/>
        </w:rPr>
      </w:r>
    </w:p>
    <w:p>
      <w:pPr>
        <w:pStyle w:val="Heading4"/>
        <w:spacing w:before="0" w:after="0"/>
        <w:ind w:hanging="0" w:start="0"/>
        <w:rPr/>
      </w:pPr>
      <w:r>
        <w:rPr>
          <w:rFonts w:cs="Times New Roman;Times New Roman" w:ascii="Times New Roman;Times New Roman" w:hAnsi="Times New Roman;Times New Roman"/>
          <w:b w:val="false"/>
          <w:sz w:val="24"/>
        </w:rPr>
        <w:t xml:space="preserve">In </w:t>
      </w:r>
      <w:r>
        <w:rPr>
          <w:rFonts w:cs="Times New Roman;Times New Roman" w:ascii="Times New Roman;Times New Roman" w:hAnsi="Times New Roman;Times New Roman"/>
          <w:sz w:val="24"/>
        </w:rPr>
        <w:t>Mexico</w:t>
      </w:r>
      <w:r>
        <w:rPr>
          <w:rFonts w:cs="Times New Roman;Times New Roman" w:ascii="Times New Roman;Times New Roman" w:hAnsi="Times New Roman;Times New Roman"/>
          <w:b w:val="false"/>
          <w:sz w:val="24"/>
        </w:rPr>
        <w:t xml:space="preserve"> the National Commission for Energy Conservation (CONAE) promotes cogeneration and other energy efficiency strategies.  During the year 2000, CONAE provided technical assistance either in-situ or on-line to important public and private organizations, such as universities, sugar mills, chemical and prepared-food companies to promote the installation of cogeneration.  Since 1996 the Energy Regulatory Commission (CRE) has bestowed 25 cogeneration  permits, of which 24 are in force.  </w:t>
      </w:r>
    </w:p>
    <w:p>
      <w:pPr>
        <w:pStyle w:val="NormalSpace"/>
        <w:spacing w:before="0" w:after="0"/>
        <w:rPr>
          <w:rFonts w:ascii="Times New Roman;Times New Roman" w:hAnsi="Times New Roman;Times New Roman" w:cs="Times New Roman;Times New Roman"/>
          <w:b/>
          <w:sz w:val="24"/>
        </w:rPr>
      </w:pPr>
      <w:r>
        <w:rPr>
          <w:rFonts w:cs="Times New Roman;Times New Roman"/>
          <w:b/>
          <w:sz w:val="24"/>
        </w:rPr>
      </w:r>
    </w:p>
    <w:p>
      <w:pPr>
        <w:pStyle w:val="Normal"/>
        <w:rPr/>
      </w:pPr>
      <w:r>
        <w:rPr>
          <w:b/>
          <w:lang w:val="en-GB"/>
        </w:rPr>
        <w:t>Singapore</w:t>
      </w:r>
      <w:r>
        <w:rPr>
          <w:lang w:val="en-GB"/>
        </w:rPr>
        <w:t xml:space="preserve"> has decided to further liberalise the electricity industry. The key objective is to implement an electricity market structure and regulatory framework that will support a competitive electricity industry in Singapore.</w:t>
      </w:r>
    </w:p>
    <w:p>
      <w:pPr>
        <w:pStyle w:val="Normal"/>
        <w:rPr>
          <w:lang w:val="en-GB"/>
        </w:rPr>
      </w:pPr>
      <w:r>
        <w:rPr>
          <w:lang w:val="en-GB"/>
        </w:rPr>
      </w:r>
    </w:p>
    <w:p>
      <w:pPr>
        <w:pStyle w:val="Normal"/>
        <w:rPr>
          <w:lang w:val="en-GB"/>
        </w:rPr>
      </w:pPr>
      <w:r>
        <w:rPr>
          <w:lang w:val="en-GB"/>
        </w:rPr>
      </w:r>
    </w:p>
    <w:p>
      <w:pPr>
        <w:pStyle w:val="BodyText"/>
        <w:ind w:hanging="11" w:end="0"/>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6: Cooperation in the development of domestic and intra-regional energy infrastructure and energy trading networks.</w:t>
      </w:r>
    </w:p>
    <w:p>
      <w:pPr>
        <w:pStyle w:val="Normal"/>
        <w:ind w:hanging="720" w:start="720" w:end="0"/>
        <w:rPr>
          <w:rFonts w:ascii="Times New Roman;Times New Roman" w:hAnsi="Times New Roman;Times New Roman" w:cs="Times New Roman;Times New Roman"/>
          <w:b/>
          <w:sz w:val="24"/>
        </w:rPr>
      </w:pPr>
      <w:r>
        <w:rPr>
          <w:rFonts w:cs="Times New Roman;Times New Roman"/>
          <w:b/>
          <w:sz w:val="24"/>
        </w:rPr>
      </w:r>
    </w:p>
    <w:p>
      <w:pPr>
        <w:pStyle w:val="Level1"/>
        <w:tabs>
          <w:tab w:val="clear" w:pos="567"/>
          <w:tab w:val="left" w:pos="-1440" w:leader="none"/>
        </w:tabs>
        <w:ind w:hanging="0" w:start="0" w:end="0"/>
        <w:rPr/>
      </w:pPr>
      <w:r>
        <w:rPr>
          <w:lang w:val="en-GB"/>
        </w:rPr>
        <w:t xml:space="preserve">As the </w:t>
      </w:r>
      <w:r>
        <w:rPr>
          <w:b/>
          <w:lang w:val="en-GB"/>
        </w:rPr>
        <w:t>Canadian</w:t>
      </w:r>
      <w:r>
        <w:rPr>
          <w:lang w:val="en-GB"/>
        </w:rPr>
        <w:t xml:space="preserve"> electricity industry moves from primarily provincial systems focussed on self sufficiency towards large, integrated, regional electricity markets the Government of Canada and </w:t>
      </w:r>
      <w:r>
        <w:rPr>
          <w:color w:val="000000"/>
          <w:lang w:val="en-GB"/>
        </w:rPr>
        <w:t xml:space="preserve">its provincial partners </w:t>
      </w:r>
      <w:r>
        <w:rPr>
          <w:lang w:val="en-GB"/>
        </w:rPr>
        <w:t xml:space="preserve">put great emphasis on reliability issues.  There is continuing co-operation between the Canadian and United States governments, in developing a system that will maintain a high level of reliability, and respect the role and authority of each jurisdiction. </w:t>
      </w:r>
    </w:p>
    <w:p>
      <w:pPr>
        <w:pStyle w:val="Level1"/>
        <w:tabs>
          <w:tab w:val="clear" w:pos="567"/>
          <w:tab w:val="left" w:pos="-1440" w:leader="none"/>
        </w:tabs>
        <w:ind w:hanging="0" w:start="0" w:end="0"/>
        <w:rPr>
          <w:lang w:val="en-GB"/>
        </w:rPr>
      </w:pPr>
      <w:r>
        <w:rPr>
          <w:lang w:val="en-GB"/>
        </w:rPr>
      </w:r>
    </w:p>
    <w:p>
      <w:pPr>
        <w:pStyle w:val="Normal"/>
        <w:rPr>
          <w:lang w:val="en-GB"/>
        </w:rPr>
      </w:pPr>
      <w:r>
        <w:rPr>
          <w:lang w:val="en-GB"/>
        </w:rPr>
        <w:t xml:space="preserve">In </w:t>
      </w:r>
      <w:r>
        <w:rPr>
          <w:b/>
          <w:lang w:val="en-GB"/>
        </w:rPr>
        <w:t>Hong Kong, China</w:t>
      </w:r>
      <w:r>
        <w:rPr>
          <w:lang w:val="en-GB"/>
        </w:rPr>
        <w:t xml:space="preserve"> t</w:t>
      </w:r>
      <w:r>
        <w:rPr/>
        <w:t>he Energy Efficiency Office of the Electrical &amp; Mechanical Services Department actively pursues many energy efficiency initiatives and encourages research and development of new environmentally sound energy technologies such as district cooling.</w:t>
      </w:r>
    </w:p>
    <w:p>
      <w:pPr>
        <w:pStyle w:val="Level1"/>
        <w:tabs>
          <w:tab w:val="clear" w:pos="567"/>
          <w:tab w:val="left" w:pos="-1440" w:leader="none"/>
        </w:tabs>
        <w:ind w:hanging="0" w:start="0" w:end="0"/>
        <w:rPr>
          <w:lang w:val="en-GB"/>
        </w:rPr>
      </w:pPr>
      <w:r>
        <w:rPr>
          <w:lang w:val="en-GB"/>
        </w:rPr>
      </w:r>
    </w:p>
    <w:p>
      <w:pPr>
        <w:pStyle w:val="Normal"/>
        <w:rPr/>
      </w:pPr>
      <w:r>
        <w:rPr>
          <w:b/>
        </w:rPr>
        <w:t>Japan</w:t>
      </w:r>
      <w:r>
        <w:rPr/>
        <w:t xml:space="preserve"> has supported APEC economies in building and maintaining energy infrastructure through ODA (yen) loans and technical cooperation.  Japan has commenced demonstration projects in Chile and the Philippines as follow–up activities to the “Facilitation of Rural Electrification in the APEC Region“ project which was completed and a report provided to the fifteenth meeting of the APEC Energy Working Group.</w:t>
      </w:r>
    </w:p>
    <w:p>
      <w:pPr>
        <w:pStyle w:val="Normal"/>
        <w:rPr>
          <w:spacing w:val="-3"/>
        </w:rPr>
      </w:pPr>
      <w:r>
        <w:rPr>
          <w:spacing w:val="-3"/>
        </w:rPr>
      </w:r>
    </w:p>
    <w:p>
      <w:pPr>
        <w:pStyle w:val="Normal"/>
        <w:rPr/>
      </w:pPr>
      <w:r>
        <w:rPr>
          <w:spacing w:val="-3"/>
        </w:rPr>
        <w:t xml:space="preserve">In the </w:t>
      </w:r>
      <w:r>
        <w:rPr>
          <w:b/>
          <w:spacing w:val="-3"/>
        </w:rPr>
        <w:t>Philippines</w:t>
      </w:r>
      <w:r>
        <w:rPr>
          <w:spacing w:val="-3"/>
        </w:rPr>
        <w:t xml:space="preserve"> the </w:t>
      </w:r>
      <w:r>
        <w:rPr>
          <w:i/>
          <w:spacing w:val="-3"/>
        </w:rPr>
        <w:t>Malampaya Deep Water Gas to Power Project</w:t>
      </w:r>
      <w:r>
        <w:rPr>
          <w:spacing w:val="-3"/>
        </w:rPr>
        <w:t xml:space="preserve"> represents the largest most significant investment in the country with a total investment portfolio of US$4.5 billion.  Two of the world's leading oil companies, Shell and Texaco, teamed up with the Philippine National Oil Company (PNOC) for the upstream portion of this project.  Initially, the consortium achieved a historic milestone and engineering feat with the completion and tow-out of the 95,000-ton Concrete Gravity Structure (CGS) from the Subic Bay Freeport to Palawan province, and the laying of the 504 kilometer Malampaya pipeline from the landfall of the onshore gas plant in Batangas province. Currently, the infrastructure works  for the gas transmission system from Batangas to Manila are underway as well as the natural gas receiving terminal from Bataan to a power petrochemical complex.</w:t>
      </w:r>
    </w:p>
    <w:p>
      <w:pPr>
        <w:pStyle w:val="Normal"/>
        <w:rPr>
          <w:spacing w:val="-3"/>
        </w:rPr>
      </w:pPr>
      <w:r>
        <w:rPr>
          <w:spacing w:val="-3"/>
        </w:rPr>
      </w:r>
    </w:p>
    <w:p>
      <w:pPr>
        <w:pStyle w:val="Normal"/>
        <w:rPr/>
      </w:pPr>
      <w:r>
        <w:rPr>
          <w:b/>
        </w:rPr>
        <w:t>Russia</w:t>
      </w:r>
      <w:r>
        <w:rPr/>
        <w:t xml:space="preserve"> plans to increase electricity exports to Western Europe, and is studying a transmission line crossing Belarus, Lithuania, Kaliningrad and Poland to Germany.  Russia recognises that, as a prerequisite for Russia to be able to sell on the European electricity market, there would need to be reciprocity in market opening.  The Black Sea Economic Co-operation Working Group on Energy is undertaking a feasibility study to interconnect the states surrounding the Black Sea.  Russia is also involved in the Baltic Ring Project aimed at linking all the countries surrounding the Black Sea.  Also under consideration is the modernisation of the transmission lines to the Central and South East Europe to allow exports to this area.</w:t>
      </w:r>
    </w:p>
    <w:p>
      <w:pPr>
        <w:pStyle w:val="Level1"/>
        <w:tabs>
          <w:tab w:val="clear" w:pos="567"/>
          <w:tab w:val="left" w:pos="-1440" w:leader="none"/>
        </w:tabs>
        <w:ind w:hanging="0" w:start="0" w:end="0"/>
        <w:rPr>
          <w:lang w:val="en-GB"/>
        </w:rPr>
      </w:pPr>
      <w:r>
        <w:rPr>
          <w:lang w:val="en-GB"/>
        </w:rPr>
      </w:r>
    </w:p>
    <w:p>
      <w:pPr>
        <w:pStyle w:val="Normal"/>
        <w:rPr/>
      </w:pPr>
      <w:r>
        <w:rPr>
          <w:b/>
          <w:lang w:val="en-GB"/>
        </w:rPr>
        <w:t>Singapore</w:t>
      </w:r>
      <w:r>
        <w:rPr>
          <w:lang w:val="en-GB"/>
        </w:rPr>
        <w:t xml:space="preserve"> and Malaysia’s electricity systems are linked by an inter-connector for mutual help in times of need.  A gas pipeline transports natural gas from Malaysia to Singapore for power generation.  From January 2001, Singapore has imported natural gas from the West Natuna gas fields in Indonesia via a 640km pipeline.  In February 2001, a gas sales agreement (GSA) between </w:t>
      </w:r>
      <w:r>
        <w:rPr/>
        <w:t>Gas Supply Pte Ltd, a wholly</w:t>
        <w:noBreakHyphen/>
        <w:t xml:space="preserve">owned subsidiary of PowerGas Ltd, and Pertamina was signed </w:t>
      </w:r>
      <w:r>
        <w:rPr>
          <w:lang w:val="en-GB"/>
        </w:rPr>
        <w:t>for the import of 350 mmscfd of natural gas over 20 years.  The gas is expected to land in Singapore in 2003.</w:t>
      </w:r>
    </w:p>
    <w:p>
      <w:pPr>
        <w:pStyle w:val="Header"/>
        <w:ind w:hanging="720" w:start="720" w:end="0"/>
        <w:rPr>
          <w:lang w:val="en-GB"/>
        </w:rPr>
      </w:pPr>
      <w:r>
        <w:rPr>
          <w:lang w:val="en-GB"/>
        </w:rPr>
      </w:r>
    </w:p>
    <w:p>
      <w:pPr>
        <w:pStyle w:val="Header"/>
        <w:ind w:hanging="720" w:start="720" w:end="0"/>
        <w:rPr/>
      </w:pPr>
      <w:r>
        <w:rPr/>
      </w:r>
    </w:p>
    <w:p>
      <w:pPr>
        <w:pStyle w:val="BodyTextIndent"/>
        <w:ind w:hanging="11" w:end="0"/>
        <w:rPr/>
      </w:pPr>
      <w:r>
        <w:rPr/>
        <w:t>Primary Principle 7: Sustainable development through the harmonisation of economic development, energy security and the environmental impacts of energy production and use.</w:t>
      </w:r>
    </w:p>
    <w:p>
      <w:pPr>
        <w:pStyle w:val="Normal"/>
        <w:ind w:hanging="720" w:start="720" w:end="0"/>
        <w:rPr/>
      </w:pPr>
      <w:r>
        <w:rPr/>
      </w:r>
    </w:p>
    <w:p>
      <w:pPr>
        <w:pStyle w:val="Normal"/>
        <w:rPr/>
      </w:pPr>
      <w:r>
        <w:rPr/>
        <w:t>In</w:t>
      </w:r>
      <w:r>
        <w:rPr>
          <w:b/>
        </w:rPr>
        <w:t xml:space="preserve"> Australia</w:t>
      </w:r>
      <w:r>
        <w:rPr/>
        <w:t xml:space="preserve"> a number of recent initiatives have been implemented to ensure the integration of sustainable development principles into decision making.  The Federal Government has introduced the </w:t>
      </w:r>
      <w:r>
        <w:rPr>
          <w:i/>
        </w:rPr>
        <w:t>Environment Protection and Biodiversity Act 1999</w:t>
      </w:r>
      <w:r>
        <w:rPr/>
        <w:t xml:space="preserve"> (EPBC Act) on 1 July 1999 to assess and approve the impacts of activities on matters of National Environmental Significance, including activities in the energy sector.  In addition, all petroleum industry activities in Commonwealth waters are regulated under the </w:t>
      </w:r>
      <w:r>
        <w:rPr>
          <w:i/>
        </w:rPr>
        <w:t>Petroleum (Submerged Lands) Act 1967</w:t>
      </w:r>
      <w:r>
        <w:rPr/>
        <w:t xml:space="preserve"> to ensure they are carried out in a manner consistent with Environmentally Sustainable Development principles.  These arrangements include development of an environment plan for each activity that assesses the risks and effects of operations and proposes ways of minimising these impacts on the environment.  The arrangements have been applied to all new proposals since October 1999, and existing facilities must have an approved environment plan by October 2001.  To integrate sectoral interests such as petroleum, shipping and fisheries with the conservation requirements needed to protect the function of the ecosystem,</w:t>
      </w:r>
      <w:r>
        <w:rPr>
          <w:i/>
        </w:rPr>
        <w:t xml:space="preserve"> </w:t>
      </w:r>
      <w:r>
        <w:rPr/>
        <w:t xml:space="preserve">the Federal Government is implementing Regional Marine Plans under </w:t>
      </w:r>
      <w:r>
        <w:rPr>
          <w:i/>
        </w:rPr>
        <w:t>Australia’s Oceans Policy.</w:t>
      </w:r>
    </w:p>
    <w:p>
      <w:pPr>
        <w:pStyle w:val="Normal"/>
        <w:tabs>
          <w:tab w:val="clear" w:pos="567"/>
          <w:tab w:val="left" w:pos="-1440" w:leader="none"/>
        </w:tabs>
        <w:ind w:hanging="720" w:start="720" w:end="0"/>
        <w:rPr/>
      </w:pPr>
      <w:r>
        <w:rPr/>
      </w:r>
    </w:p>
    <w:p>
      <w:pPr>
        <w:pStyle w:val="Level1"/>
        <w:tabs>
          <w:tab w:val="clear" w:pos="567"/>
          <w:tab w:val="left" w:pos="-1440" w:leader="none"/>
        </w:tabs>
        <w:ind w:hanging="0" w:start="0" w:end="0"/>
        <w:rPr/>
      </w:pPr>
      <w:r>
        <w:rPr>
          <w:lang w:val="en-GB"/>
        </w:rPr>
        <w:t xml:space="preserve">In </w:t>
      </w:r>
      <w:r>
        <w:rPr>
          <w:b/>
          <w:lang w:val="en-GB"/>
        </w:rPr>
        <w:t>Canada</w:t>
      </w:r>
      <w:r>
        <w:rPr>
          <w:lang w:val="en-GB"/>
        </w:rPr>
        <w:t xml:space="preserve"> sustainable development has been at the heart of </w:t>
      </w:r>
      <w:r>
        <w:rPr>
          <w:color w:val="000000"/>
          <w:lang w:val="en-GB"/>
        </w:rPr>
        <w:t>Canada’s energy policy</w:t>
      </w:r>
      <w:r>
        <w:rPr>
          <w:lang w:val="en-GB"/>
        </w:rPr>
        <w:t xml:space="preserve"> since 1993.  </w:t>
      </w:r>
      <w:r>
        <w:rPr/>
        <w:t>Through the last decade, Canada has developed extensive sustainable development</w:t>
      </w:r>
      <w:r>
        <w:rPr>
          <w:lang w:val="en-GB"/>
        </w:rPr>
        <w:t xml:space="preserve"> experience and expertise.  Canada has made significant strides by way of technology and capacity building expertise in the area of energy efficiency.  Canada is working to advance smart technologies and intelligent transportation systems, fuel efficiency, alternative fuels, and clean fossil fuel technologies.  Canada is seeking the development of a more sustainable energy mix which includes an increasing role for renewable energy.  The Canadian Environmental Assessment Act (CEAA) came into effect in 1995.  The main purpose of the Act is to ensure that the environmental effects of projects receive careful consideration before responsible authorities take actions in connection with them.  The Act is being reviewed by the Canadian Government and will be completed in the second half of this year.  As part of its five year Action Plan on climate change, the Government of Canada confirmed an investment of  $500 million on measures to reduce greenhouse gas (GHG) emissions.  Combined with the $625 million for climate change related activities for the next five years that was announced in Budget 2000, this investment results in a commitment of $1.1 billion to reduce GHG emissions in Canada.  This builds on the $850 million the Government of Canada has spent on climate change since 1995.</w:t>
      </w:r>
    </w:p>
    <w:p>
      <w:pPr>
        <w:pStyle w:val="Normal"/>
        <w:ind w:hanging="720" w:start="720" w:end="0"/>
        <w:rPr>
          <w:lang w:val="en-GB"/>
        </w:rPr>
      </w:pPr>
      <w:r>
        <w:rPr>
          <w:lang w:val="en-GB"/>
        </w:rPr>
      </w:r>
    </w:p>
    <w:p>
      <w:pPr>
        <w:pStyle w:val="Normal"/>
        <w:rPr>
          <w:lang w:val="en-GB"/>
        </w:rPr>
      </w:pPr>
      <w:r>
        <w:rPr>
          <w:b/>
          <w:lang w:val="en-GB"/>
        </w:rPr>
        <w:t>Hong Kong, China</w:t>
      </w:r>
      <w:r>
        <w:rPr>
          <w:lang w:val="en-GB"/>
        </w:rPr>
        <w:t xml:space="preserve"> maintains its security of supply </w:t>
      </w:r>
      <w:r>
        <w:rPr/>
        <w:t>through arrangements with the power, oil and gas companies on keeping strategic reserves of coal, diesel and naphtha; the Scheme of Control Agreements with the power companies, which assure sufficient electricity generating capacity; interconnections between the power companies and the south China electricity grid; and by the power companies diversifying fuel supply sources and types.  Hong Kong, China has undertaken a number of measures to minimise environmental impacts of energy consumption since banning the use of oil with a high sulphur content in 1990.  The latest is a mandatory LPG taxis scheme to require all new taxis to use LPG from the end of 2000 and to phase out all diesel taxis by end 2005.</w:t>
      </w:r>
    </w:p>
    <w:p>
      <w:pPr>
        <w:pStyle w:val="Normal"/>
        <w:ind w:hanging="720" w:start="720" w:end="0"/>
        <w:rPr>
          <w:lang w:val="en-GB"/>
        </w:rPr>
      </w:pPr>
      <w:r>
        <w:rPr>
          <w:lang w:val="en-GB"/>
        </w:rPr>
      </w:r>
    </w:p>
    <w:p>
      <w:pPr>
        <w:pStyle w:val="Normal"/>
        <w:rPr/>
      </w:pPr>
      <w:r>
        <w:rPr>
          <w:b/>
        </w:rPr>
        <w:t>Japan</w:t>
      </w:r>
      <w:r>
        <w:rPr/>
        <w:t xml:space="preserve"> is deliberating on the revision of the ‘Long-Term Energy Supply/Demand Outlook’ aimed at simultaneously achieving economic development, energy security and environmental protection.  The Ministry of Economy, Trade and Industry recently set additional measures to reduce CO</w:t>
      </w:r>
      <w:r>
        <w:rPr>
          <w:vertAlign w:val="subscript"/>
        </w:rPr>
        <w:t>2</w:t>
      </w:r>
      <w:r>
        <w:rPr/>
        <w:t xml:space="preserve"> emissions, in order to achieve the Kyoto commitment.  There are three policies: promotion of energy conservation, promotion of new and renewable energy, and promotion of fuel switching.  In order to ensure stable oil supply, Japan has decided to reinforce measures such as oil stockpiling for emergency preparedness and to provide support for purchasing assets in the upstream sector.  Necessary amendments of the laws have been made. The revised laws, including the abolition of the Petroleum Law, will enter into force in January 2002.   </w:t>
      </w:r>
    </w:p>
    <w:p>
      <w:pPr>
        <w:pStyle w:val="Normal"/>
        <w:ind w:hanging="720" w:start="720" w:end="0"/>
        <w:rPr/>
      </w:pPr>
      <w:r>
        <w:rPr/>
      </w:r>
    </w:p>
    <w:p>
      <w:pPr>
        <w:pStyle w:val="Normal"/>
        <w:rPr/>
      </w:pPr>
      <w:r>
        <w:rPr>
          <w:b/>
        </w:rPr>
        <w:t xml:space="preserve">Korea </w:t>
      </w:r>
      <w:r>
        <w:rPr/>
        <w:t xml:space="preserve">has endeavored to spread energy saving products. Presently, energy efficiency programs are under operation, such as energy efficiency standards and labeling program, certification of the highly efficient energy using appliance program, and energy-saving office equipment and home electronics program. </w:t>
      </w:r>
    </w:p>
    <w:p>
      <w:pPr>
        <w:pStyle w:val="Normal"/>
        <w:ind w:hanging="720" w:start="720" w:end="0"/>
        <w:rPr/>
      </w:pPr>
      <w:r>
        <w:rPr/>
      </w:r>
    </w:p>
    <w:p>
      <w:pPr>
        <w:pStyle w:val="Normal"/>
        <w:rPr/>
      </w:pPr>
      <w:r>
        <w:rPr>
          <w:b/>
        </w:rPr>
        <w:t xml:space="preserve">Mexico </w:t>
      </w:r>
      <w:r>
        <w:rPr/>
        <w:t>is committed to establishing more efficient schemes for energy production, transportation, distribution and consumption, as well as for the use of technologies that reduce emissions and greenhouse gases.  Mexico is also promoting the expansion of renewable energy sources that will contribute to a more sustainable development.  As an important national policy, and as part of international agreement on this issue, Mexico has taken a series of measures that will lead, in the mid term, to the functioning of a modern and efficient energy system.  A number of initiatives have already commenced.</w:t>
      </w:r>
    </w:p>
    <w:p>
      <w:pPr>
        <w:pStyle w:val="Normal"/>
        <w:tabs>
          <w:tab w:val="clear" w:pos="567"/>
          <w:tab w:val="left" w:pos="-720" w:leader="none"/>
        </w:tabs>
        <w:suppressAutoHyphens w:val="true"/>
        <w:jc w:val="both"/>
        <w:rPr>
          <w:spacing w:val="-3"/>
        </w:rPr>
      </w:pPr>
      <w:r>
        <w:rPr>
          <w:spacing w:val="-3"/>
        </w:rPr>
      </w:r>
    </w:p>
    <w:p>
      <w:pPr>
        <w:pStyle w:val="Normal"/>
        <w:tabs>
          <w:tab w:val="clear" w:pos="567"/>
          <w:tab w:val="left" w:pos="-720" w:leader="none"/>
        </w:tabs>
        <w:suppressAutoHyphens w:val="true"/>
        <w:jc w:val="both"/>
        <w:rPr/>
      </w:pPr>
      <w:r>
        <w:rPr>
          <w:spacing w:val="-3"/>
        </w:rPr>
        <w:t xml:space="preserve">Energy planning in the </w:t>
      </w:r>
      <w:r>
        <w:rPr>
          <w:b/>
          <w:spacing w:val="-3"/>
        </w:rPr>
        <w:t>Philippines</w:t>
      </w:r>
      <w:r>
        <w:rPr>
          <w:spacing w:val="-3"/>
        </w:rPr>
        <w:t xml:space="preserve"> has aggressively pursued three basic goals: stable, secure and efficient energy supply; fair and reasonable energy prices; and, the promotion of environment-friendly technology and infrastructure facilities.  Along the context of the third policy thrust, the following strategies were adopted:</w:t>
      </w:r>
    </w:p>
    <w:p>
      <w:pPr>
        <w:pStyle w:val="Normal"/>
        <w:tabs>
          <w:tab w:val="clear" w:pos="567"/>
          <w:tab w:val="left" w:pos="-720" w:leader="none"/>
          <w:tab w:val="left" w:pos="0" w:leader="none"/>
          <w:tab w:val="left" w:pos="720" w:leader="none"/>
        </w:tabs>
        <w:suppressAutoHyphens w:val="true"/>
        <w:ind w:hanging="1440" w:start="1440" w:end="0"/>
        <w:jc w:val="both"/>
        <w:rPr>
          <w:spacing w:val="-3"/>
        </w:rPr>
      </w:pPr>
      <w:r>
        <w:rPr>
          <w:spacing w:val="-3"/>
        </w:rPr>
      </w:r>
    </w:p>
    <w:p>
      <w:pPr>
        <w:pStyle w:val="Normal"/>
        <w:tabs>
          <w:tab w:val="clear" w:pos="567"/>
          <w:tab w:val="left" w:pos="-720" w:leader="none"/>
          <w:tab w:val="left" w:pos="0" w:leader="none"/>
        </w:tabs>
        <w:suppressAutoHyphens w:val="true"/>
        <w:ind w:hanging="567" w:start="1134" w:end="0"/>
        <w:jc w:val="both"/>
        <w:rPr>
          <w:spacing w:val="-3"/>
        </w:rPr>
      </w:pPr>
      <w:r>
        <w:rPr>
          <w:spacing w:val="-3"/>
        </w:rPr>
        <w:t>a)</w:t>
        <w:tab/>
        <w:t>large-scale utilization of new and renewable energy source;</w:t>
      </w:r>
    </w:p>
    <w:p>
      <w:pPr>
        <w:pStyle w:val="Normal"/>
        <w:tabs>
          <w:tab w:val="clear" w:pos="567"/>
          <w:tab w:val="left" w:pos="-720" w:leader="none"/>
          <w:tab w:val="left" w:pos="0" w:leader="none"/>
        </w:tabs>
        <w:suppressAutoHyphens w:val="true"/>
        <w:ind w:hanging="567" w:start="1134" w:end="0"/>
        <w:jc w:val="both"/>
        <w:rPr>
          <w:spacing w:val="-3"/>
        </w:rPr>
      </w:pPr>
      <w:r>
        <w:rPr>
          <w:spacing w:val="-3"/>
        </w:rPr>
        <w:t>b)</w:t>
        <w:tab/>
        <w:t>promotion of judicious conservation and efficient utilization of energy;</w:t>
      </w:r>
    </w:p>
    <w:p>
      <w:pPr>
        <w:pStyle w:val="Normal"/>
        <w:tabs>
          <w:tab w:val="clear" w:pos="567"/>
          <w:tab w:val="left" w:pos="-720" w:leader="none"/>
          <w:tab w:val="left" w:pos="0" w:leader="none"/>
        </w:tabs>
        <w:suppressAutoHyphens w:val="true"/>
        <w:ind w:hanging="567" w:start="1134" w:end="0"/>
        <w:jc w:val="both"/>
        <w:rPr>
          <w:spacing w:val="-3"/>
        </w:rPr>
      </w:pPr>
      <w:r>
        <w:rPr>
          <w:spacing w:val="-3"/>
        </w:rPr>
        <w:t>c)</w:t>
        <w:tab/>
        <w:t>adoption of environment-friendly energy systems;</w:t>
      </w:r>
    </w:p>
    <w:p>
      <w:pPr>
        <w:pStyle w:val="Normal"/>
        <w:tabs>
          <w:tab w:val="clear" w:pos="567"/>
          <w:tab w:val="left" w:pos="-720" w:leader="none"/>
          <w:tab w:val="left" w:pos="0" w:leader="none"/>
        </w:tabs>
        <w:suppressAutoHyphens w:val="true"/>
        <w:ind w:hanging="567" w:start="1134" w:end="0"/>
        <w:jc w:val="both"/>
        <w:rPr>
          <w:spacing w:val="-3"/>
        </w:rPr>
      </w:pPr>
      <w:r>
        <w:rPr>
          <w:spacing w:val="-3"/>
        </w:rPr>
        <w:t>d)</w:t>
        <w:tab/>
        <w:t>integration of social and environmental concerns in energy planning and project implementation.</w:t>
      </w:r>
    </w:p>
    <w:p>
      <w:pPr>
        <w:pStyle w:val="Normal"/>
        <w:ind w:hanging="720" w:start="720" w:end="0"/>
        <w:rPr>
          <w:spacing w:val="-3"/>
        </w:rPr>
      </w:pPr>
      <w:r>
        <w:rPr>
          <w:spacing w:val="-3"/>
        </w:rPr>
      </w:r>
    </w:p>
    <w:p>
      <w:pPr>
        <w:pStyle w:val="Normal"/>
        <w:rPr/>
      </w:pPr>
      <w:r>
        <w:rPr>
          <w:lang w:val="en-GB"/>
        </w:rPr>
        <w:t xml:space="preserve">With the availability of natural gas, </w:t>
      </w:r>
      <w:r>
        <w:rPr>
          <w:b/>
          <w:lang w:val="en-GB"/>
        </w:rPr>
        <w:t>Singapore</w:t>
      </w:r>
      <w:r>
        <w:rPr>
          <w:lang w:val="en-GB"/>
        </w:rPr>
        <w:t xml:space="preserve"> has introduced more efficient combined cycle technology to generate power which will reduce carbon dioxide emissions per unit of electricity generated.  Also, a Green Plan will raise environmental awareness and promote energy conservation.</w:t>
      </w:r>
    </w:p>
    <w:p>
      <w:pPr>
        <w:pStyle w:val="Normal"/>
        <w:ind w:hanging="720" w:start="720" w:end="0"/>
        <w:rPr>
          <w:lang w:val="en-GB"/>
        </w:rPr>
      </w:pPr>
      <w:r>
        <w:rPr>
          <w:lang w:val="en-GB"/>
        </w:rPr>
      </w:r>
    </w:p>
    <w:p>
      <w:pPr>
        <w:pStyle w:val="Normal"/>
        <w:snapToGrid w:val="false"/>
        <w:rPr/>
      </w:pPr>
      <w:r>
        <w:rPr>
          <w:b/>
        </w:rPr>
        <w:t>Chinese Taipei</w:t>
      </w:r>
      <w:r>
        <w:rPr/>
        <w:t xml:space="preserve"> has recognized the significance of the APEC Framework for Capacity Building Initiatives on Emergency Preparedness endorsed by APEC Ministers in 1998.  Chinese Taipei has initiated an earthquake response cooperation initiative.  The Initiative will establish an earthquake response cooperation mechanism for energy infrastructure in the APEC region.  The project for this Initiative has a budget of US$750,000 with a three-phase implementation program to be implemented over three years.  Chinese Taipei is funding Phase One of this program, and will continue to fund Phase Two.</w:t>
      </w:r>
    </w:p>
    <w:p>
      <w:pPr>
        <w:pStyle w:val="Level1"/>
        <w:tabs>
          <w:tab w:val="clear" w:pos="567"/>
          <w:tab w:val="left" w:pos="-1440" w:leader="none"/>
        </w:tabs>
        <w:rPr>
          <w:lang w:val="en-GB"/>
        </w:rPr>
      </w:pPr>
      <w:r>
        <w:rPr>
          <w:lang w:val="en-GB"/>
        </w:rPr>
      </w:r>
    </w:p>
    <w:p>
      <w:pPr>
        <w:pStyle w:val="Level1"/>
        <w:tabs>
          <w:tab w:val="clear" w:pos="567"/>
          <w:tab w:val="left" w:pos="-1440" w:leader="none"/>
        </w:tabs>
        <w:ind w:hanging="0" w:start="0" w:end="0"/>
        <w:rPr>
          <w:lang w:val="en-GB"/>
        </w:rPr>
      </w:pPr>
      <w:r>
        <w:rPr/>
        <w:t>The</w:t>
      </w:r>
      <w:r>
        <w:rPr>
          <w:b/>
        </w:rPr>
        <w:t xml:space="preserve"> United States</w:t>
      </w:r>
      <w:r>
        <w:rPr/>
        <w:t xml:space="preserve"> National Energy Report supports the improvement and acceleration of environmental protection by the use of the latest in pollution control technologies to cut harmful emissions, thereby helping to meet environmental goals and enhancing economic and energy security.</w:t>
      </w:r>
    </w:p>
    <w:p>
      <w:pPr>
        <w:pStyle w:val="Normal"/>
        <w:ind w:hanging="720" w:start="720" w:end="0"/>
        <w:rPr>
          <w:lang w:val="en-GB"/>
        </w:rPr>
      </w:pPr>
      <w:r>
        <w:rPr>
          <w:lang w:val="en-GB"/>
        </w:rPr>
      </w:r>
    </w:p>
    <w:p>
      <w:pPr>
        <w:pStyle w:val="Normal"/>
        <w:ind w:hanging="720" w:start="720" w:end="0"/>
        <w:rPr/>
      </w:pPr>
      <w:r>
        <w:rPr/>
      </w:r>
    </w:p>
    <w:p>
      <w:pPr>
        <w:pStyle w:val="BodyText"/>
        <w:keepNext w:val="true"/>
        <w:jc w:val="start"/>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Primary Principle 8: Energy supply diversification (including renewable energy) and improved energy efficiency.</w:t>
      </w:r>
    </w:p>
    <w:p>
      <w:pPr>
        <w:pStyle w:val="Normal"/>
        <w:ind w:hanging="720" w:start="720" w:end="0"/>
        <w:rPr>
          <w:rFonts w:ascii="Times New Roman;Times New Roman" w:hAnsi="Times New Roman;Times New Roman" w:cs="Times New Roman;Times New Roman"/>
          <w:b/>
          <w:sz w:val="24"/>
          <w:lang w:val="en-GB"/>
        </w:rPr>
      </w:pPr>
      <w:r>
        <w:rPr>
          <w:rFonts w:cs="Times New Roman;Times New Roman"/>
          <w:b/>
          <w:sz w:val="24"/>
          <w:lang w:val="en-GB"/>
        </w:rPr>
      </w:r>
    </w:p>
    <w:p>
      <w:pPr>
        <w:pStyle w:val="Normal"/>
        <w:rPr/>
      </w:pPr>
      <w:r>
        <w:rPr/>
        <w:t xml:space="preserve">The </w:t>
      </w:r>
      <w:r>
        <w:rPr>
          <w:b/>
        </w:rPr>
        <w:t xml:space="preserve">Australian </w:t>
      </w:r>
      <w:r>
        <w:rPr/>
        <w:t xml:space="preserve">Prime Minister announced, in November 1997, a range of greenhouse response measures.  The ‘Renewable Energy (Electricity) Act 2000’ sets specific annual targets for the additional uptake of electricity sourced from renewable energy services.  They amount to 9,500 gigawatt hours to be achieved progressively by 2010 and maintained to 2020.  This represents a rise from 10 percent to 12 percent the proportion of Australia’s electricity generated from renewable sources. </w:t>
      </w:r>
    </w:p>
    <w:p>
      <w:pPr>
        <w:pStyle w:val="Normal"/>
        <w:ind w:hanging="720" w:start="720" w:end="0"/>
        <w:rPr/>
      </w:pPr>
      <w:r>
        <w:rPr/>
      </w:r>
    </w:p>
    <w:p>
      <w:pPr>
        <w:pStyle w:val="Level1"/>
        <w:tabs>
          <w:tab w:val="clear" w:pos="567"/>
          <w:tab w:val="left" w:pos="-1440" w:leader="none"/>
        </w:tabs>
        <w:ind w:hanging="0" w:start="0" w:end="0"/>
        <w:rPr/>
      </w:pPr>
      <w:r>
        <w:rPr>
          <w:lang w:val="en-GB"/>
        </w:rPr>
        <w:t xml:space="preserve">The </w:t>
      </w:r>
      <w:r>
        <w:rPr>
          <w:b/>
          <w:lang w:val="en-GB"/>
        </w:rPr>
        <w:t>Canadian</w:t>
      </w:r>
      <w:r>
        <w:rPr>
          <w:lang w:val="en-GB"/>
        </w:rPr>
        <w:t xml:space="preserve"> energy sector is extremely diversified and includes conventional energy supply (i.e., oil, gas and coal), nuclear energy, hydro-electricity and new renewable energy technologies such as wind, biomass and photovoltaics.  In 1998 Natural Resource Canada created the Renewable Energy Deployment Initiative (REDI) with a twelve million dollar fund and a 25 percent financial incentive to cover the cost of certain types of equipment.  In 1998 the Renewable Energy in Remote Communities Programme to help remote communities was launched.  Under the Green Power Initiative launched in 1996, Natural Resources Canada purchases electricity generated from renewable energy sources and encourages other federal departments to do the same.  Natural Resources Canada has pledged to purchase 15 to 20 percent of its electricity from new green power sources by 2010, where it makes economic sense.  The Government of Canada announced in the 2000 budget that it would expand this Initiative to procure $15 million of renewable energy over the next 10 years in the provinces of Saskatchewan and Prince Edward Island.  The Government of Canada has also announced an initial $100 million for the Sustainable Development Technology Fund, to stimulate the development and demonstration of promising new environmental technologies.  Canada has many energy efficiency and research and development programs.</w:t>
      </w:r>
    </w:p>
    <w:p>
      <w:pPr>
        <w:pStyle w:val="Normal"/>
        <w:ind w:hanging="720" w:start="720" w:end="0"/>
        <w:rPr>
          <w:lang w:val="en-GB"/>
        </w:rPr>
      </w:pPr>
      <w:r>
        <w:rPr>
          <w:lang w:val="en-GB"/>
        </w:rPr>
      </w:r>
    </w:p>
    <w:p>
      <w:pPr>
        <w:pStyle w:val="Normal"/>
        <w:rPr>
          <w:lang w:val="en-GB"/>
        </w:rPr>
      </w:pPr>
      <w:r>
        <w:rPr>
          <w:b/>
          <w:lang w:val="en-GB"/>
        </w:rPr>
        <w:t>Hong Kong, China</w:t>
      </w:r>
      <w:r>
        <w:rPr>
          <w:lang w:val="en-GB"/>
        </w:rPr>
        <w:t xml:space="preserve"> is supporting a number of initiatives, including research on the utilisation of renewable energy resources, a study for completion in September 2002 on performance based Building Energy Codes, and an extension of the Voluntary Energy Efficiency Labelling Schemes, including one for petrol passenger vehicles.  By the end of 2001 Hong Kong, China anticipates that its Energy Audit Program will have completed surveys of about 154 buildings with the highest potential for energy savings.  In addition, Hong Kong, China </w:t>
      </w:r>
      <w:r>
        <w:rPr/>
        <w:t>is working towards the replacement of all its 18,000 diesel taxis with LPG models by the end of 2005.</w:t>
      </w:r>
    </w:p>
    <w:p>
      <w:pPr>
        <w:pStyle w:val="Normal"/>
        <w:ind w:hanging="720" w:start="720" w:end="0"/>
        <w:rPr>
          <w:lang w:val="en-GB"/>
        </w:rPr>
      </w:pPr>
      <w:r>
        <w:rPr>
          <w:lang w:val="en-GB"/>
        </w:rPr>
      </w:r>
    </w:p>
    <w:p>
      <w:pPr>
        <w:pStyle w:val="Normal"/>
        <w:rPr/>
      </w:pPr>
      <w:r>
        <w:rPr/>
        <w:t xml:space="preserve">In </w:t>
      </w:r>
      <w:r>
        <w:rPr>
          <w:b/>
        </w:rPr>
        <w:t>Japan</w:t>
      </w:r>
      <w:r>
        <w:rPr/>
        <w:t xml:space="preserve"> the latest Oil-Alternative Energy Supply Target was developed (Cabinet Decision, September 1998) with the approval of the National Energy Council of Ministers, after the issuance of the revision of the ‘Long-Term Energy Supply/Demand Outlook’ compiled in June, 1998.  The targeted total amount of oil-alternative energy supply (coal, nuclear, natural gas, new energy, etc.) for FY2010 is expected to be equivalent to 325 million kl of oil.  The share of the Total Primary Energy Supply held by alternative energy is expected to rise to 53 percent in 2010, up 8 percent from 1996. </w:t>
      </w:r>
    </w:p>
    <w:p>
      <w:pPr>
        <w:pStyle w:val="Normal"/>
        <w:ind w:hanging="720" w:start="720" w:end="0"/>
        <w:rPr>
          <w:lang w:val="en-GB"/>
        </w:rPr>
      </w:pPr>
      <w:r>
        <w:rPr>
          <w:lang w:val="en-GB"/>
        </w:rPr>
      </w:r>
    </w:p>
    <w:p>
      <w:pPr>
        <w:pStyle w:val="Normal"/>
        <w:rPr/>
      </w:pPr>
      <w:r>
        <w:rPr/>
        <w:t xml:space="preserve">To ensure a stable energy supply and help preserve the global environment, </w:t>
      </w:r>
      <w:r>
        <w:rPr>
          <w:b/>
        </w:rPr>
        <w:t>Korea</w:t>
      </w:r>
      <w:r>
        <w:rPr/>
        <w:t xml:space="preserve"> announced the “New and Renewable Energy R&amp;D Basic Plan” in February 2001. Focusing R&amp;D and dissemination activities on such areas of substantial potential for broad application as solar thermal, photovoltaics, wind power, fuel cells, and waste-to-energy, the plan has a short-term target of meeting 2% of the total energy demand with new and renewable energy sources by 2003.</w:t>
      </w:r>
    </w:p>
    <w:p>
      <w:pPr>
        <w:pStyle w:val="Normal"/>
        <w:ind w:hanging="720" w:start="720" w:end="0"/>
        <w:rPr/>
      </w:pPr>
      <w:r>
        <w:rPr/>
      </w:r>
    </w:p>
    <w:p>
      <w:pPr>
        <w:pStyle w:val="Level1"/>
        <w:tabs>
          <w:tab w:val="clear" w:pos="567"/>
          <w:tab w:val="left" w:pos="-1440" w:leader="none"/>
        </w:tabs>
        <w:ind w:hanging="0" w:start="0" w:end="0"/>
        <w:rPr/>
      </w:pPr>
      <w:r>
        <w:rPr/>
        <w:t xml:space="preserve">In </w:t>
      </w:r>
      <w:r>
        <w:rPr>
          <w:b/>
        </w:rPr>
        <w:t>Mexico</w:t>
      </w:r>
      <w:r>
        <w:rPr/>
        <w:t xml:space="preserve"> during 2000, CONAE and the National Association of Solar Energy (ANES) which is the Mexican chapter of the International Solar Energy Society (ISES) jointly carried out important activities.  Three of them stand out: the ISES Millennium Solar Forum 2000 held last September in Mexico City; several public forums to integrate renewable energy issues in the discussion of the electricity market restructure; and the design of programs such as the installation of solar water heating equipment in the Mexico City metropolitan area.  Up to the year 2000, the Energy Regulatory Commission (CRE) granted 46 licenses to several industrial actors for generating electricity with renewable energy. </w:t>
      </w:r>
    </w:p>
    <w:p>
      <w:pPr>
        <w:pStyle w:val="Normal"/>
        <w:rPr/>
      </w:pPr>
      <w:r>
        <w:rPr/>
      </w:r>
    </w:p>
    <w:p>
      <w:pPr>
        <w:pStyle w:val="Normal"/>
        <w:rPr/>
      </w:pPr>
      <w:r>
        <w:rPr>
          <w:spacing w:val="-3"/>
        </w:rPr>
        <w:t xml:space="preserve">The development of the </w:t>
      </w:r>
      <w:r>
        <w:rPr>
          <w:b/>
          <w:spacing w:val="-3"/>
        </w:rPr>
        <w:t>Philippine's</w:t>
      </w:r>
      <w:r>
        <w:rPr>
          <w:spacing w:val="-3"/>
        </w:rPr>
        <w:t xml:space="preserve"> first commercial gas in Northwest Palawan and the associated downstream facilities signifies the birth of natural gas industry of the country.  By October 2001, the Philippines will commission the single largest indigenous energy resource that will power-up 2,700 MW of natural gas plants.  This will open an entire network of opportunity as the need for additional supply of natural gas becomes inevitable in the next five to ten years for the industrial, commercial, household and transport sectors. </w:t>
      </w:r>
    </w:p>
    <w:p>
      <w:pPr>
        <w:pStyle w:val="Normal"/>
        <w:rPr>
          <w:spacing w:val="-3"/>
        </w:rPr>
      </w:pPr>
      <w:r>
        <w:rPr>
          <w:spacing w:val="-3"/>
        </w:rPr>
      </w:r>
    </w:p>
    <w:p>
      <w:pPr>
        <w:pStyle w:val="Normal"/>
        <w:rPr/>
      </w:pPr>
      <w:r>
        <w:rPr/>
        <w:t>With the Philippines’ abundant resources of wind, solar, biomass and mini and micro-hydro, continuous development and use of new and renewable energy (NRE) has become one of the major strategies of the energy sector to attain self-reliance along with the protection of the environment.  The current NRE program also supports the major thrust of attaining 100 % electrification of remote communities/barangays in the country by 2006 under the “Let there be light” program of the government and its partners in the private sector.  The present administration has prioritized the application of NRE systems for energization of “off-grid” areas.  On the other hand, in line with its mandate to promote judicious conservation and efficient utilization of energy, the Philippines continues to pursue an aggressive energy efficiency programs that include Energy Management Services, Information and Education Campaign,  Government Energy Conservation Program, Systems Loss Reduction for Utilities, Heat Rate Improvement of Power Plants, Energy Labeling and Standards for Appliances and Demand-Side Management Program.</w:t>
      </w:r>
    </w:p>
    <w:p>
      <w:pPr>
        <w:pStyle w:val="Level1"/>
        <w:tabs>
          <w:tab w:val="clear" w:pos="567"/>
          <w:tab w:val="left" w:pos="-1440" w:leader="none"/>
        </w:tabs>
        <w:ind w:hanging="0" w:start="0" w:end="0"/>
        <w:rPr/>
      </w:pPr>
      <w:r>
        <w:rPr/>
      </w:r>
    </w:p>
    <w:p>
      <w:pPr>
        <w:pStyle w:val="Level1"/>
        <w:tabs>
          <w:tab w:val="clear" w:pos="567"/>
          <w:tab w:val="left" w:pos="-1440" w:leader="none"/>
        </w:tabs>
        <w:ind w:hanging="0" w:start="0" w:end="0"/>
        <w:rPr/>
      </w:pPr>
      <w:r>
        <w:rPr>
          <w:lang w:val="en-GB"/>
        </w:rPr>
        <w:t xml:space="preserve">In </w:t>
      </w:r>
      <w:r>
        <w:rPr>
          <w:b/>
          <w:lang w:val="en-GB"/>
        </w:rPr>
        <w:t>Singapore</w:t>
      </w:r>
      <w:r>
        <w:rPr>
          <w:lang w:val="en-GB"/>
        </w:rPr>
        <w:t xml:space="preserve"> since January 1992 natural gas, in addition to fuel oil, has been used for electricity generation as a first step towards energy supply diversification.  Power generation using natural gas will increase with the availability of natural gas from Indonesia.  Singapore has upgraded its power stations with newer and bigger machines to generate electricity.  Singapore has adopted more efficient combined cycle technology to generate power.  The five petroleum refineries also continually upgrade their operations with sophisticated value-added process and employ stringent energy conservation practices.  Energy conservation has been actively promoted and pursued at a national level through a series of fiscal and non-fiscal policies with the objective of improving overall system efficiency through better load management.  The Energy Market Authority of Singapore provides advisory services in efficient use of electricity to consumers in the industrial and commercial sectors.  A set of energy conservation standards for building design has been incorporated into the Building Regulations administered by the Building and Construction Authority.</w:t>
      </w:r>
    </w:p>
    <w:p>
      <w:pPr>
        <w:pStyle w:val="Normal"/>
        <w:rPr>
          <w:lang w:val="en-GB"/>
        </w:rPr>
      </w:pPr>
      <w:r>
        <w:rPr>
          <w:lang w:val="en-GB"/>
        </w:rPr>
      </w:r>
    </w:p>
    <w:p>
      <w:pPr>
        <w:pStyle w:val="Normal"/>
        <w:rPr/>
      </w:pPr>
      <w:r>
        <w:rPr/>
        <w:t xml:space="preserve">The </w:t>
      </w:r>
      <w:r>
        <w:rPr>
          <w:b/>
        </w:rPr>
        <w:t>United States</w:t>
      </w:r>
      <w:r>
        <w:rPr/>
        <w:t xml:space="preserve"> National Energy Policy Report supports the modernization and increase of conservation by ensuring that energy is used as efficiently as possible, and supports the diversification of energy supply by encouraging renewable and alternative sources of energy as well as the latest technologies to increase environmentally friendly exploration and production of domestic energy resources.  For example, the report recommends doubling expenditure on conservation programs for low-income households, extension of appliance efficiency standards and renewable energy tax credits, and new tax incentives for purchase of efficient vehicles, as well as consideration of tightened average fuel economy standards for vehicles.</w:t>
      </w:r>
    </w:p>
    <w:sectPr>
      <w:headerReference w:type="default" r:id="rId2"/>
      <w:footerReference w:type="default" r:id="rId3"/>
      <w:type w:val="nextPage"/>
      <w:pgSz w:w="11906" w:h="16838"/>
      <w:pgMar w:left="1418" w:right="1418" w:gutter="0" w:header="397" w:top="1418" w:footer="39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 w:name="Symbol">
    <w:altName w:val="Times New Roman"/>
    <w:charset w:val="02"/>
    <w:family w:val="roman"/>
    <w:pitch w:val="variable"/>
  </w:font>
  <w:font w:name="Wingdings">
    <w:altName w:val="Modern No. 20"/>
    <w:charset w:val="02"/>
    <w:family w:val="auto"/>
    <w:pitch w:val="variable"/>
  </w:font>
  <w:font w:name="Courier New">
    <w:charset w:val="00" w:characterSet="windows-1252"/>
    <w:family w:val="modern"/>
    <w:pitch w:val="default"/>
  </w:font>
  <w:font w:name="WP TypographicSymbols">
    <w:altName w:val="Courier New"/>
    <w:charset w:val="00" w:characterSet="windows-1252"/>
    <w:family w:val="auto"/>
    <w:pitch w:val="variable"/>
  </w:font>
  <w:font w:name="New Century Schlbk">
    <w:altName w:val="Century Schoolbook"/>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right" w:pos="8306" w:leader="none"/>
        <w:tab w:val="right" w:pos="9356" w:leader="none"/>
      </w:tabs>
      <w:jc w:val="end"/>
      <w:rPr>
        <w:sz w:val="16"/>
      </w:rPr>
    </w:pPr>
    <w:r>
      <w:rPr>
        <w:sz w:val="16"/>
      </w:rPr>
      <w:t>7/9/01</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1.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right" w:pos="8306" w:leader="none"/>
        <w:tab w:val="right" w:pos="9356" w:leader="none"/>
      </w:tabs>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AU" w:bidi="ar-SA" w:eastAsia="zh-CN"/>
    </w:rPr>
  </w:style>
  <w:style w:type="paragraph" w:styleId="Heading1">
    <w:name w:val="heading 1"/>
    <w:basedOn w:val="Normal"/>
    <w:next w:val="Normal"/>
    <w:qFormat/>
    <w:pPr>
      <w:keepNext w:val="true"/>
      <w:numPr>
        <w:ilvl w:val="0"/>
        <w:numId w:val="1"/>
      </w:numPr>
      <w:spacing w:before="0" w:after="240"/>
      <w:outlineLvl w:val="0"/>
    </w:pPr>
    <w:rPr>
      <w:b/>
      <w:kern w:val="2"/>
      <w:sz w:val="28"/>
    </w:rPr>
  </w:style>
  <w:style w:type="paragraph" w:styleId="Heading2">
    <w:name w:val="heading 2"/>
    <w:basedOn w:val="Normal"/>
    <w:next w:val="Normal"/>
    <w:qFormat/>
    <w:pPr>
      <w:keepNext w:val="true"/>
      <w:numPr>
        <w:ilvl w:val="1"/>
        <w:numId w:val="1"/>
      </w:numPr>
      <w:spacing w:before="0" w:after="120"/>
      <w:outlineLvl w:val="1"/>
    </w:pPr>
    <w:rPr>
      <w:b/>
    </w:rPr>
  </w:style>
  <w:style w:type="paragraph" w:styleId="Heading3">
    <w:name w:val="heading 3"/>
    <w:basedOn w:val="Normal"/>
    <w:next w:val="Normal"/>
    <w:qFormat/>
    <w:pPr>
      <w:keepNext w:val="true"/>
      <w:numPr>
        <w:ilvl w:val="2"/>
        <w:numId w:val="1"/>
      </w:numPr>
      <w:spacing w:before="0" w:after="120"/>
      <w:outlineLvl w:val="2"/>
    </w:pPr>
    <w:rPr>
      <w:i/>
    </w:rPr>
  </w:style>
  <w:style w:type="paragraph" w:styleId="Heading4">
    <w:name w:val="heading 4"/>
    <w:basedOn w:val="Normal"/>
    <w:next w:val="Normal"/>
    <w:qFormat/>
    <w:pPr>
      <w:keepNext w:val="true"/>
      <w:numPr>
        <w:ilvl w:val="3"/>
        <w:numId w:val="1"/>
      </w:numPr>
      <w:spacing w:before="0" w:after="120"/>
      <w:outlineLvl w:val="3"/>
    </w:pPr>
    <w:rPr>
      <w:rFonts w:ascii="Arial;Helvetica" w:hAnsi="Arial;Helvetica" w:cs="Arial;Helvetica"/>
      <w:b/>
      <w:sz w:val="20"/>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rFonts w:ascii="Arial;Helvetica" w:hAnsi="Arial;Helvetica" w:cs="Arial;Helvetica"/>
      <w:color w:val="000000"/>
      <w:sz w:val="20"/>
      <w:u w:val="single"/>
      <w:lang w:val="en-US"/>
    </w:rPr>
  </w:style>
  <w:style w:type="paragraph" w:styleId="Heading7">
    <w:name w:val="heading 7"/>
    <w:basedOn w:val="Normal"/>
    <w:next w:val="Normal"/>
    <w:qFormat/>
    <w:pPr>
      <w:keepNext w:val="true"/>
      <w:numPr>
        <w:ilvl w:val="6"/>
        <w:numId w:val="1"/>
      </w:numPr>
      <w:ind w:hanging="0" w:start="283" w:end="0"/>
      <w:jc w:val="center"/>
      <w:outlineLvl w:val="6"/>
    </w:pPr>
    <w:rPr>
      <w:rFonts w:ascii="Arial;Helvetica" w:hAnsi="Arial;Helvetica" w:cs="Arial;Helvetica"/>
      <w:b/>
      <w:u w:val="single"/>
      <w:lang w:val="en-US"/>
    </w:rPr>
  </w:style>
  <w:style w:type="paragraph" w:styleId="Heading8">
    <w:name w:val="heading 8"/>
    <w:basedOn w:val="Normal"/>
    <w:next w:val="Normal"/>
    <w:qFormat/>
    <w:pPr>
      <w:keepNext w:val="true"/>
      <w:numPr>
        <w:ilvl w:val="7"/>
        <w:numId w:val="1"/>
      </w:numPr>
      <w:spacing w:before="0" w:after="120"/>
      <w:jc w:val="center"/>
      <w:outlineLvl w:val="7"/>
    </w:pPr>
    <w:rPr>
      <w:rFonts w:ascii="Arial;Helvetica" w:hAnsi="Arial;Helvetica" w:cs="Arial;Helvetica"/>
      <w:b/>
      <w:sz w:val="22"/>
      <w:lang w:val="en-US"/>
    </w:rPr>
  </w:style>
  <w:style w:type="character" w:styleId="WW8Num2z0">
    <w:name w:val="WW8Num2z0"/>
    <w:qFormat/>
    <w:rPr>
      <w:rFonts w:ascii="Symbol;Times New Roman" w:hAnsi="Symbol;Times New Roman" w:cs="Symbol;Times New Roman"/>
    </w:rPr>
  </w:style>
  <w:style w:type="character" w:styleId="WW8Num3z0">
    <w:name w:val="WW8Num3z0"/>
    <w:qFormat/>
    <w:rPr>
      <w:rFonts w:ascii="Wingdings;Modern No. 20" w:hAnsi="Wingdings;Modern No. 20" w:cs="Wingdings;Modern No. 20"/>
    </w:rPr>
  </w:style>
  <w:style w:type="character" w:styleId="WW8Num4z0">
    <w:name w:val="WW8Num4z0"/>
    <w:qFormat/>
    <w:rPr>
      <w:rFonts w:ascii="Symbol;Times New Roman" w:hAnsi="Symbol;Times New Roman" w:cs="Symbol;Times New Roman"/>
    </w:rPr>
  </w:style>
  <w:style w:type="character" w:styleId="WW8Num5z0">
    <w:name w:val="WW8Num5z0"/>
    <w:qFormat/>
    <w:rPr>
      <w:rFonts w:ascii="Symbol;Times New Roman" w:hAnsi="Symbol;Times New Roman" w:cs="Symbol;Times New Roman"/>
      <w:color w:val="auto"/>
    </w:rPr>
  </w:style>
  <w:style w:type="character" w:styleId="WW8Num7z0">
    <w:name w:val="WW8Num7z0"/>
    <w:qFormat/>
    <w:rPr>
      <w:rFonts w:ascii="Symbol;Times New Roman" w:hAnsi="Symbol;Times New Roman" w:cs="Symbol;Times New Roman"/>
      <w:color w:val="auto"/>
    </w:rPr>
  </w:style>
  <w:style w:type="character" w:styleId="WW8Num9z0">
    <w:name w:val="WW8Num9z0"/>
    <w:qFormat/>
    <w:rPr>
      <w:rFonts w:ascii="Symbol;Times New Roman" w:hAnsi="Symbol;Times New Roman" w:cs="Symbol;Times New Roman"/>
      <w:color w:val="auto"/>
    </w:rPr>
  </w:style>
  <w:style w:type="character" w:styleId="WW8Num10z0">
    <w:name w:val="WW8Num10z0"/>
    <w:qFormat/>
    <w:rPr>
      <w:rFonts w:ascii="Symbol;Times New Roman" w:hAnsi="Symbol;Times New Roman" w:cs="Symbol;Times New Roman"/>
    </w:rPr>
  </w:style>
  <w:style w:type="character" w:styleId="WW8Num11z0">
    <w:name w:val="WW8Num11z0"/>
    <w:qFormat/>
    <w:rPr>
      <w:rFonts w:ascii="Symbol;Times New Roman" w:hAnsi="Symbol;Times New Roman" w:cs="Symbol;Times New Roman"/>
      <w:color w:val="auto"/>
    </w:rPr>
  </w:style>
  <w:style w:type="character" w:styleId="WW8Num13z0">
    <w:name w:val="WW8Num13z0"/>
    <w:qFormat/>
    <w:rPr>
      <w:rFonts w:ascii="Symbol;Times New Roman" w:hAnsi="Symbol;Times New Roman" w:cs="Symbol;Times New Roman"/>
      <w:color w:val="auto"/>
      <w:sz w:val="24"/>
    </w:rPr>
  </w:style>
  <w:style w:type="character" w:styleId="WW8Num14z0">
    <w:name w:val="WW8Num14z0"/>
    <w:qFormat/>
    <w:rPr>
      <w:rFonts w:ascii="Symbol;Times New Roman" w:hAnsi="Symbol;Times New Roman" w:cs="Symbol;Times New Roman"/>
      <w:color w:val="auto"/>
      <w:sz w:val="24"/>
    </w:rPr>
  </w:style>
  <w:style w:type="character" w:styleId="WW8Num15z0">
    <w:name w:val="WW8Num15z0"/>
    <w:qFormat/>
    <w:rPr/>
  </w:style>
  <w:style w:type="character" w:styleId="WW8Num16z0">
    <w:name w:val="WW8Num16z0"/>
    <w:qFormat/>
    <w:rPr>
      <w:rFonts w:ascii="Symbol;Times New Roman" w:hAnsi="Symbol;Times New Roman" w:cs="Symbol;Times New Roman"/>
    </w:rPr>
  </w:style>
  <w:style w:type="character" w:styleId="WW8Num17z0">
    <w:name w:val="WW8Num17z0"/>
    <w:qFormat/>
    <w:rPr>
      <w:rFonts w:ascii="Symbol;Times New Roman" w:hAnsi="Symbol;Times New Roman" w:cs="Symbol;Times New Roman"/>
    </w:rPr>
  </w:style>
  <w:style w:type="character" w:styleId="WW8Num17z1">
    <w:name w:val="WW8Num17z1"/>
    <w:qFormat/>
    <w:rPr>
      <w:rFonts w:ascii="Courier New;Courier New" w:hAnsi="Courier New;Courier New" w:cs="Courier New;Courier New"/>
    </w:rPr>
  </w:style>
  <w:style w:type="character" w:styleId="WW8Num17z2">
    <w:name w:val="WW8Num17z2"/>
    <w:qFormat/>
    <w:rPr>
      <w:rFonts w:ascii="Wingdings;Modern No. 20" w:hAnsi="Wingdings;Modern No. 20" w:cs="Wingdings;Modern No. 20"/>
    </w:rPr>
  </w:style>
  <w:style w:type="character" w:styleId="WW8Num18z0">
    <w:name w:val="WW8Num18z0"/>
    <w:qFormat/>
    <w:rPr/>
  </w:style>
  <w:style w:type="character" w:styleId="WW8Num20z0">
    <w:name w:val="WW8Num20z0"/>
    <w:qFormat/>
    <w:rPr>
      <w:rFonts w:ascii="Symbol;Times New Roman" w:hAnsi="Symbol;Times New Roman" w:cs="Symbol;Times New Roman"/>
      <w:color w:val="auto"/>
    </w:rPr>
  </w:style>
  <w:style w:type="character" w:styleId="WW8Num21z0">
    <w:name w:val="WW8Num21z0"/>
    <w:qFormat/>
    <w:rPr>
      <w:rFonts w:ascii="Wingdings;Modern No. 20" w:hAnsi="Wingdings;Modern No. 20" w:cs="Wingdings;Modern No. 20"/>
      <w:sz w:val="24"/>
    </w:rPr>
  </w:style>
  <w:style w:type="character" w:styleId="WW8Num22z0">
    <w:name w:val="WW8Num22z0"/>
    <w:qFormat/>
    <w:rPr>
      <w:rFonts w:ascii="Symbol;Times New Roman" w:hAnsi="Symbol;Times New Roman" w:cs="Symbol;Times New Roman"/>
    </w:rPr>
  </w:style>
  <w:style w:type="character" w:styleId="WW8Num24z0">
    <w:name w:val="WW8Num24z0"/>
    <w:qFormat/>
    <w:rPr>
      <w:rFonts w:ascii="Symbol;Times New Roman" w:hAnsi="Symbol;Times New Roman" w:cs="Symbol;Times New Roman"/>
      <w:color w:val="auto"/>
    </w:rPr>
  </w:style>
  <w:style w:type="character" w:styleId="WW8Num25z0">
    <w:name w:val="WW8Num25z0"/>
    <w:qFormat/>
    <w:rPr>
      <w:rFonts w:ascii="Symbol;Times New Roman" w:hAnsi="Symbol;Times New Roman" w:cs="Symbol;Times New Roman"/>
    </w:rPr>
  </w:style>
  <w:style w:type="character" w:styleId="WW8Num26z0">
    <w:name w:val="WW8Num26z0"/>
    <w:qFormat/>
    <w:rPr/>
  </w:style>
  <w:style w:type="character" w:styleId="WW8Num27z0">
    <w:name w:val="WW8Num27z0"/>
    <w:qFormat/>
    <w:rPr>
      <w:rFonts w:ascii="Symbol;Times New Roman" w:hAnsi="Symbol;Times New Roman" w:cs="Symbol;Times New Roman"/>
    </w:rPr>
  </w:style>
  <w:style w:type="character" w:styleId="WW8Num28z0">
    <w:name w:val="WW8Num28z0"/>
    <w:qFormat/>
    <w:rPr/>
  </w:style>
  <w:style w:type="character" w:styleId="WW8Num29z0">
    <w:name w:val="WW8Num29z0"/>
    <w:qFormat/>
    <w:rPr>
      <w:rFonts w:ascii="Symbol;Times New Roman" w:hAnsi="Symbol;Times New Roman" w:cs="Symbol;Times New Roman"/>
    </w:rPr>
  </w:style>
  <w:style w:type="character" w:styleId="WW8Num30z0">
    <w:name w:val="WW8Num30z0"/>
    <w:qFormat/>
    <w:rPr>
      <w:rFonts w:ascii="Symbol;Times New Roman" w:hAnsi="Symbol;Times New Roman" w:cs="Symbol;Times New Roman"/>
      <w:color w:val="auto"/>
    </w:rPr>
  </w:style>
  <w:style w:type="character" w:styleId="WW8Num31z0">
    <w:name w:val="WW8Num31z0"/>
    <w:qFormat/>
    <w:rPr>
      <w:rFonts w:ascii="Symbol;Times New Roman" w:hAnsi="Symbol;Times New Roman" w:cs="Symbol;Times New Roman"/>
    </w:rPr>
  </w:style>
  <w:style w:type="character" w:styleId="WW8Num33z0">
    <w:name w:val="WW8Num33z0"/>
    <w:qFormat/>
    <w:rPr>
      <w:rFonts w:ascii="Symbol;Times New Roman" w:hAnsi="Symbol;Times New Roman" w:cs="Symbol;Times New Roman"/>
      <w:color w:val="auto"/>
    </w:rPr>
  </w:style>
  <w:style w:type="character" w:styleId="WW8Num33z1">
    <w:name w:val="WW8Num33z1"/>
    <w:qFormat/>
    <w:rPr>
      <w:rFonts w:ascii="Times New Roman;Times New Roman" w:hAnsi="Times New Roman;Times New Roman" w:cs="Times New Roman;Times New Roman"/>
    </w:rPr>
  </w:style>
  <w:style w:type="character" w:styleId="WW8Num33z2">
    <w:name w:val="WW8Num33z2"/>
    <w:qFormat/>
    <w:rPr>
      <w:rFonts w:ascii="Wingdings;Modern No. 20" w:hAnsi="Wingdings;Modern No. 20" w:cs="Wingdings;Modern No. 20"/>
    </w:rPr>
  </w:style>
  <w:style w:type="character" w:styleId="WW8Num33z3">
    <w:name w:val="WW8Num33z3"/>
    <w:qFormat/>
    <w:rPr>
      <w:rFonts w:ascii="Symbol;Times New Roman" w:hAnsi="Symbol;Times New Roman" w:cs="Symbol;Times New Roman"/>
    </w:rPr>
  </w:style>
  <w:style w:type="character" w:styleId="WW8Num34z0">
    <w:name w:val="WW8Num34z0"/>
    <w:qFormat/>
    <w:rPr>
      <w:rFonts w:ascii="Symbol;Times New Roman" w:hAnsi="Symbol;Times New Roman" w:cs="Symbol;Times New Roman"/>
    </w:rPr>
  </w:style>
  <w:style w:type="character" w:styleId="WW8Num34z1">
    <w:name w:val="WW8Num34z1"/>
    <w:qFormat/>
    <w:rPr>
      <w:rFonts w:ascii="Wingdings;Modern No. 20" w:hAnsi="Wingdings;Modern No. 20" w:cs="Wingdings;Modern No. 20"/>
      <w:sz w:val="16"/>
    </w:rPr>
  </w:style>
  <w:style w:type="character" w:styleId="WW8Num34z2">
    <w:name w:val="WW8Num34z2"/>
    <w:qFormat/>
    <w:rPr>
      <w:rFonts w:ascii="Wingdings;Modern No. 20" w:hAnsi="Wingdings;Modern No. 20" w:cs="Wingdings;Modern No. 20"/>
    </w:rPr>
  </w:style>
  <w:style w:type="character" w:styleId="WW8Num34z4">
    <w:name w:val="WW8Num34z4"/>
    <w:qFormat/>
    <w:rPr>
      <w:rFonts w:ascii="Courier New;Courier New" w:hAnsi="Courier New;Courier New" w:cs="Courier New;Courier New"/>
    </w:rPr>
  </w:style>
  <w:style w:type="character" w:styleId="WW8Num35z0">
    <w:name w:val="WW8Num35z0"/>
    <w:qFormat/>
    <w:rPr/>
  </w:style>
  <w:style w:type="character" w:styleId="WW8Num36z0">
    <w:name w:val="WW8Num36z0"/>
    <w:qFormat/>
    <w:rPr>
      <w:rFonts w:ascii="Symbol;Times New Roman" w:hAnsi="Symbol;Times New Roman" w:cs="Symbol;Times New Roman"/>
    </w:rPr>
  </w:style>
  <w:style w:type="character" w:styleId="WW8Num36z1">
    <w:name w:val="WW8Num36z1"/>
    <w:qFormat/>
    <w:rPr>
      <w:rFonts w:ascii="Courier New;Courier New" w:hAnsi="Courier New;Courier New" w:cs="Courier New;Courier New"/>
    </w:rPr>
  </w:style>
  <w:style w:type="character" w:styleId="WW8Num36z2">
    <w:name w:val="WW8Num36z2"/>
    <w:qFormat/>
    <w:rPr>
      <w:rFonts w:ascii="Wingdings;Modern No. 20" w:hAnsi="Wingdings;Modern No. 20" w:cs="Wingdings;Modern No. 20"/>
    </w:rPr>
  </w:style>
  <w:style w:type="character" w:styleId="WW8Num38z0">
    <w:name w:val="WW8Num38z0"/>
    <w:qFormat/>
    <w:rPr>
      <w:rFonts w:ascii="Symbol;Times New Roman" w:hAnsi="Symbol;Times New Roman" w:cs="Symbol;Times New Roman"/>
      <w:color w:val="auto"/>
    </w:rPr>
  </w:style>
  <w:style w:type="character" w:styleId="WW8Num39z0">
    <w:name w:val="WW8Num39z0"/>
    <w:qFormat/>
    <w:rPr>
      <w:rFonts w:ascii="Symbol;Times New Roman" w:hAnsi="Symbol;Times New Roman" w:cs="Symbol;Times New Roman"/>
    </w:rPr>
  </w:style>
  <w:style w:type="character" w:styleId="WW8Num40z0">
    <w:name w:val="WW8Num40z0"/>
    <w:qFormat/>
    <w:rPr>
      <w:rFonts w:ascii="Symbol;Times New Roman" w:hAnsi="Symbol;Times New Roman" w:cs="Symbol;Times New Roman"/>
    </w:rPr>
  </w:style>
  <w:style w:type="character" w:styleId="WW8Num40z1">
    <w:name w:val="WW8Num40z1"/>
    <w:qFormat/>
    <w:rPr>
      <w:rFonts w:ascii="Courier New;Courier New" w:hAnsi="Courier New;Courier New" w:cs="Courier New;Courier New"/>
    </w:rPr>
  </w:style>
  <w:style w:type="character" w:styleId="WW8Num40z2">
    <w:name w:val="WW8Num40z2"/>
    <w:qFormat/>
    <w:rPr>
      <w:rFonts w:ascii="Wingdings;Modern No. 20" w:hAnsi="Wingdings;Modern No. 20" w:cs="Wingdings;Modern No. 20"/>
    </w:rPr>
  </w:style>
  <w:style w:type="character" w:styleId="WW8Num42z0">
    <w:name w:val="WW8Num42z0"/>
    <w:qFormat/>
    <w:rPr>
      <w:rFonts w:ascii="Symbol;Times New Roman" w:hAnsi="Symbol;Times New Roman" w:cs="Symbol;Times New Roman"/>
    </w:rPr>
  </w:style>
  <w:style w:type="character" w:styleId="WW8Num43z0">
    <w:name w:val="WW8Num43z0"/>
    <w:qFormat/>
    <w:rPr>
      <w:rFonts w:ascii="Wingdings;Modern No. 20" w:hAnsi="Wingdings;Modern No. 20" w:cs="Wingdings;Modern No. 20"/>
      <w:sz w:val="24"/>
    </w:rPr>
  </w:style>
  <w:style w:type="character" w:styleId="WW8Num44z0">
    <w:name w:val="WW8Num44z0"/>
    <w:qFormat/>
    <w:rPr>
      <w:rFonts w:ascii="Symbol;Times New Roman" w:hAnsi="Symbol;Times New Roman" w:cs="Symbol;Times New Roman"/>
    </w:rPr>
  </w:style>
  <w:style w:type="character" w:styleId="WW8Num45z0">
    <w:name w:val="WW8Num45z0"/>
    <w:qFormat/>
    <w:rPr>
      <w:rFonts w:ascii="Symbol;Times New Roman" w:hAnsi="Symbol;Times New Roman" w:cs="Symbol;Times New Roman"/>
    </w:rPr>
  </w:style>
  <w:style w:type="character" w:styleId="WW8Num46z0">
    <w:name w:val="WW8Num46z0"/>
    <w:qFormat/>
    <w:rPr>
      <w:rFonts w:ascii="Symbol;Times New Roman" w:hAnsi="Symbol;Times New Roman" w:cs="Symbol;Times New Roman"/>
    </w:rPr>
  </w:style>
  <w:style w:type="character" w:styleId="WW8Num47z0">
    <w:name w:val="WW8Num47z0"/>
    <w:qFormat/>
    <w:rPr>
      <w:rFonts w:ascii="Symbol;Times New Roman" w:hAnsi="Symbol;Times New Roman" w:cs="Symbol;Times New Roman"/>
      <w:color w:val="auto"/>
    </w:rPr>
  </w:style>
  <w:style w:type="character" w:styleId="WW8Num48z0">
    <w:name w:val="WW8Num48z0"/>
    <w:qFormat/>
    <w:rPr>
      <w:rFonts w:ascii="Symbol;Times New Roman" w:hAnsi="Symbol;Times New Roman" w:cs="Symbol;Times New Roman"/>
    </w:rPr>
  </w:style>
  <w:style w:type="character" w:styleId="WW8Num49z0">
    <w:name w:val="WW8Num49z0"/>
    <w:qFormat/>
    <w:rPr>
      <w:rFonts w:ascii="Symbol;Times New Roman" w:hAnsi="Symbol;Times New Roman" w:cs="Symbol;Times New Roman"/>
    </w:rPr>
  </w:style>
  <w:style w:type="character" w:styleId="WW8Num50z0">
    <w:name w:val="WW8Num50z0"/>
    <w:qFormat/>
    <w:rPr>
      <w:rFonts w:ascii="Symbol;Times New Roman" w:hAnsi="Symbol;Times New Roman" w:cs="Symbol;Times New Roman"/>
    </w:rPr>
  </w:style>
  <w:style w:type="character" w:styleId="WW8Num51z0">
    <w:name w:val="WW8Num51z0"/>
    <w:qFormat/>
    <w:rPr>
      <w:rFonts w:ascii="Symbol;Times New Roman" w:hAnsi="Symbol;Times New Roman" w:cs="Symbol;Times New Roman"/>
    </w:rPr>
  </w:style>
  <w:style w:type="character" w:styleId="WW8Num51z1">
    <w:name w:val="WW8Num51z1"/>
    <w:qFormat/>
    <w:rPr>
      <w:rFonts w:ascii="Wingdings;Modern No. 20" w:hAnsi="Wingdings;Modern No. 20" w:cs="Wingdings;Modern No. 20"/>
    </w:rPr>
  </w:style>
  <w:style w:type="character" w:styleId="WW8Num51z4">
    <w:name w:val="WW8Num51z4"/>
    <w:qFormat/>
    <w:rPr>
      <w:rFonts w:ascii="Courier New;Courier New" w:hAnsi="Courier New;Courier New" w:cs="Courier New;Courier New"/>
    </w:rPr>
  </w:style>
  <w:style w:type="character" w:styleId="WW8Num52z0">
    <w:name w:val="WW8Num52z0"/>
    <w:qFormat/>
    <w:rPr>
      <w:rFonts w:ascii="Symbol;Times New Roman" w:hAnsi="Symbol;Times New Roman" w:cs="Symbol;Times New Roman"/>
    </w:rPr>
  </w:style>
  <w:style w:type="character" w:styleId="WW8Num52z1">
    <w:name w:val="WW8Num52z1"/>
    <w:qFormat/>
    <w:rPr>
      <w:rFonts w:ascii="Courier New;Courier New" w:hAnsi="Courier New;Courier New" w:cs="Courier New;Courier New"/>
    </w:rPr>
  </w:style>
  <w:style w:type="character" w:styleId="WW8Num52z2">
    <w:name w:val="WW8Num52z2"/>
    <w:qFormat/>
    <w:rPr>
      <w:rFonts w:ascii="Wingdings;Modern No. 20" w:hAnsi="Wingdings;Modern No. 20" w:cs="Wingdings;Modern No. 20"/>
    </w:rPr>
  </w:style>
  <w:style w:type="character" w:styleId="WW8Num53z0">
    <w:name w:val="WW8Num53z0"/>
    <w:qFormat/>
    <w:rPr>
      <w:rFonts w:ascii="Symbol;Times New Roman" w:hAnsi="Symbol;Times New Roman" w:cs="Symbol;Times New Roman"/>
      <w:color w:val="auto"/>
      <w:sz w:val="24"/>
    </w:rPr>
  </w:style>
  <w:style w:type="character" w:styleId="WW8Num54z0">
    <w:name w:val="WW8Num54z0"/>
    <w:qFormat/>
    <w:rPr>
      <w:rFonts w:ascii="Wingdings;Modern No. 20" w:hAnsi="Wingdings;Modern No. 20" w:cs="Wingdings;Modern No. 20"/>
      <w:sz w:val="24"/>
    </w:rPr>
  </w:style>
  <w:style w:type="character" w:styleId="WW8Num56z0">
    <w:name w:val="WW8Num56z0"/>
    <w:qFormat/>
    <w:rPr>
      <w:rFonts w:ascii="Symbol;Times New Roman" w:hAnsi="Symbol;Times New Roman" w:cs="Symbol;Times New Roman"/>
    </w:rPr>
  </w:style>
  <w:style w:type="character" w:styleId="WW8Num58z0">
    <w:name w:val="WW8Num58z0"/>
    <w:qFormat/>
    <w:rPr>
      <w:rFonts w:ascii="Symbol;Times New Roman" w:hAnsi="Symbol;Times New Roman" w:cs="Symbol;Times New Roman"/>
    </w:rPr>
  </w:style>
  <w:style w:type="character" w:styleId="WW8Num58z2">
    <w:name w:val="WW8Num58z2"/>
    <w:qFormat/>
    <w:rPr>
      <w:rFonts w:ascii="Wingdings;Modern No. 20" w:hAnsi="Wingdings;Modern No. 20" w:cs="Wingdings;Modern No. 20"/>
    </w:rPr>
  </w:style>
  <w:style w:type="character" w:styleId="WW8Num58z4">
    <w:name w:val="WW8Num58z4"/>
    <w:qFormat/>
    <w:rPr>
      <w:rFonts w:ascii="Courier New;Courier New" w:hAnsi="Courier New;Courier New" w:cs="Courier New;Courier New"/>
    </w:rPr>
  </w:style>
  <w:style w:type="character" w:styleId="WW8Num59z0">
    <w:name w:val="WW8Num59z0"/>
    <w:qFormat/>
    <w:rPr>
      <w:rFonts w:ascii="Symbol;Times New Roman" w:hAnsi="Symbol;Times New Roman" w:cs="Symbol;Times New Roman"/>
      <w:color w:val="auto"/>
      <w:sz w:val="24"/>
    </w:rPr>
  </w:style>
  <w:style w:type="character" w:styleId="WW8Num60z0">
    <w:name w:val="WW8Num60z0"/>
    <w:qFormat/>
    <w:rPr>
      <w:rFonts w:ascii="Symbol;Times New Roman" w:hAnsi="Symbol;Times New Roman" w:cs="Symbol;Times New Roman"/>
    </w:rPr>
  </w:style>
  <w:style w:type="character" w:styleId="WW8Num62z0">
    <w:name w:val="WW8Num62z0"/>
    <w:qFormat/>
    <w:rPr>
      <w:rFonts w:ascii="Symbol;Times New Roman" w:hAnsi="Symbol;Times New Roman" w:cs="Symbol;Times New Roman"/>
      <w:color w:val="auto"/>
    </w:rPr>
  </w:style>
  <w:style w:type="character" w:styleId="WW8Num62z1">
    <w:name w:val="WW8Num62z1"/>
    <w:qFormat/>
    <w:rPr>
      <w:rFonts w:ascii="Times New Roman;Times New Roman" w:hAnsi="Times New Roman;Times New Roman" w:cs="Times New Roman;Times New Roman"/>
    </w:rPr>
  </w:style>
  <w:style w:type="character" w:styleId="WW8Num62z2">
    <w:name w:val="WW8Num62z2"/>
    <w:qFormat/>
    <w:rPr>
      <w:rFonts w:ascii="Wingdings;Modern No. 20" w:hAnsi="Wingdings;Modern No. 20" w:cs="Wingdings;Modern No. 20"/>
    </w:rPr>
  </w:style>
  <w:style w:type="character" w:styleId="WW8Num62z3">
    <w:name w:val="WW8Num62z3"/>
    <w:qFormat/>
    <w:rPr>
      <w:rFonts w:ascii="Symbol;Times New Roman" w:hAnsi="Symbol;Times New Roman" w:cs="Symbol;Times New Roman"/>
    </w:rPr>
  </w:style>
  <w:style w:type="character" w:styleId="WW8Num63z0">
    <w:name w:val="WW8Num63z0"/>
    <w:qFormat/>
    <w:rPr>
      <w:rFonts w:ascii="Symbol;Times New Roman" w:hAnsi="Symbol;Times New Roman" w:cs="Symbol;Times New Roman"/>
    </w:rPr>
  </w:style>
  <w:style w:type="character" w:styleId="WW8Num64z0">
    <w:name w:val="WW8Num64z0"/>
    <w:qFormat/>
    <w:rPr>
      <w:rFonts w:ascii="Symbol;Times New Roman" w:hAnsi="Symbol;Times New Roman" w:cs="Symbol;Times New Roman"/>
    </w:rPr>
  </w:style>
  <w:style w:type="character" w:styleId="WW8Num65z0">
    <w:name w:val="WW8Num65z0"/>
    <w:qFormat/>
    <w:rPr>
      <w:rFonts w:ascii="Symbol;Times New Roman" w:hAnsi="Symbol;Times New Roman" w:cs="Symbol;Times New Roman"/>
    </w:rPr>
  </w:style>
  <w:style w:type="character" w:styleId="WW8Num66z0">
    <w:name w:val="WW8Num66z0"/>
    <w:qFormat/>
    <w:rPr>
      <w:rFonts w:ascii="Symbol;Times New Roman" w:hAnsi="Symbol;Times New Roman" w:cs="Symbol;Times New Roman"/>
      <w:color w:val="auto"/>
    </w:rPr>
  </w:style>
  <w:style w:type="character" w:styleId="WW8Num67z0">
    <w:name w:val="WW8Num67z0"/>
    <w:qFormat/>
    <w:rPr>
      <w:rFonts w:ascii="Symbol;Times New Roman" w:hAnsi="Symbol;Times New Roman" w:cs="Symbol;Times New Roman"/>
    </w:rPr>
  </w:style>
  <w:style w:type="character" w:styleId="WW8Num68z0">
    <w:name w:val="WW8Num68z0"/>
    <w:qFormat/>
    <w:rPr>
      <w:rFonts w:ascii="Symbol;Times New Roman" w:hAnsi="Symbol;Times New Roman" w:cs="Symbol;Times New Roman"/>
    </w:rPr>
  </w:style>
  <w:style w:type="character" w:styleId="WW8Num69z0">
    <w:name w:val="WW8Num69z0"/>
    <w:qFormat/>
    <w:rPr>
      <w:rFonts w:ascii="Symbol;Times New Roman" w:hAnsi="Symbol;Times New Roman" w:cs="Symbol;Times New Roman"/>
      <w:color w:val="auto"/>
    </w:rPr>
  </w:style>
  <w:style w:type="character" w:styleId="WW8Num70z0">
    <w:name w:val="WW8Num70z0"/>
    <w:qFormat/>
    <w:rPr>
      <w:rFonts w:ascii="Symbol;Times New Roman" w:hAnsi="Symbol;Times New Roman" w:cs="Symbol;Times New Roman"/>
    </w:rPr>
  </w:style>
  <w:style w:type="character" w:styleId="WW8Num71z0">
    <w:name w:val="WW8Num71z0"/>
    <w:qFormat/>
    <w:rPr>
      <w:rFonts w:ascii="Symbol;Times New Roman" w:hAnsi="Symbol;Times New Roman" w:cs="Symbol;Times New Roman"/>
    </w:rPr>
  </w:style>
  <w:style w:type="character" w:styleId="WW8Num72z0">
    <w:name w:val="WW8Num72z0"/>
    <w:qFormat/>
    <w:rPr>
      <w:rFonts w:ascii="Symbol;Times New Roman" w:hAnsi="Symbol;Times New Roman" w:cs="Symbol;Times New Roman"/>
      <w:color w:val="auto"/>
    </w:rPr>
  </w:style>
  <w:style w:type="character" w:styleId="WW8NumSt15z0">
    <w:name w:val="WW8NumSt15z0"/>
    <w:qFormat/>
    <w:rPr>
      <w:rFonts w:ascii="WP TypographicSymbols;Courier New" w:hAnsi="WP TypographicSymbols;Courier New" w:cs="WP TypographicSymbols;Courier New"/>
    </w:rPr>
  </w:style>
  <w:style w:type="character" w:styleId="WW8NumSt16z0">
    <w:name w:val="WW8NumSt16z0"/>
    <w:qFormat/>
    <w:rPr>
      <w:rFonts w:ascii="WP TypographicSymbols;Courier New" w:hAnsi="WP TypographicSymbols;Courier New" w:cs="WP TypographicSymbols;Courier New"/>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jc w:val="center"/>
    </w:pPr>
    <w:rPr>
      <w:b/>
      <w:lang w:val="en-GB"/>
    </w:rPr>
  </w:style>
  <w:style w:type="paragraph" w:styleId="BodyText">
    <w:name w:val="Body Text"/>
    <w:basedOn w:val="Normal"/>
    <w:pPr>
      <w:jc w:val="both"/>
    </w:pPr>
    <w:rPr>
      <w:rFonts w:ascii="Arial;Helvetica" w:hAnsi="Arial;Helvetica" w:cs="Arial;Helvetica"/>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Space">
    <w:name w:val="Normal + Space"/>
    <w:basedOn w:val="Normal"/>
    <w:qFormat/>
    <w:pPr>
      <w:spacing w:before="0" w:after="24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153" w:leader="none"/>
        <w:tab w:val="right" w:pos="8306" w:leader="none"/>
      </w:tabs>
    </w:pPr>
    <w:rPr/>
  </w:style>
  <w:style w:type="paragraph" w:styleId="Footer">
    <w:name w:val="footer"/>
    <w:basedOn w:val="Normal"/>
    <w:pPr>
      <w:tabs>
        <w:tab w:val="clear" w:pos="567"/>
        <w:tab w:val="center" w:pos="4153" w:leader="none"/>
        <w:tab w:val="right" w:pos="8306" w:leader="none"/>
      </w:tabs>
      <w:jc w:val="center"/>
    </w:pPr>
    <w:rPr>
      <w:sz w:val="20"/>
    </w:rPr>
  </w:style>
  <w:style w:type="paragraph" w:styleId="Level1">
    <w:name w:val="Level 1"/>
    <w:basedOn w:val="Normal"/>
    <w:qFormat/>
    <w:pPr>
      <w:widowControl w:val="false"/>
      <w:ind w:hanging="720" w:start="720" w:end="0"/>
    </w:pPr>
    <w:rPr>
      <w:lang w:val="en-US"/>
    </w:rPr>
  </w:style>
  <w:style w:type="paragraph" w:styleId="Level2">
    <w:name w:val="Level 2"/>
    <w:basedOn w:val="Normal"/>
    <w:qFormat/>
    <w:pPr>
      <w:widowControl w:val="false"/>
      <w:ind w:hanging="720" w:start="1440" w:end="0"/>
    </w:pPr>
    <w:rPr>
      <w:lang w:val="en-US"/>
    </w:rPr>
  </w:style>
  <w:style w:type="paragraph" w:styleId="BodyTextIndent2">
    <w:name w:val="Body Text Indent 2"/>
    <w:basedOn w:val="Normal"/>
    <w:qFormat/>
    <w:pPr>
      <w:ind w:hanging="0" w:start="360" w:end="0"/>
      <w:jc w:val="both"/>
    </w:pPr>
    <w:rPr>
      <w:rFonts w:ascii="Arial;Helvetica" w:hAnsi="Arial;Helvetica" w:cs="Arial;Helvetica"/>
      <w:lang w:val="en-US"/>
    </w:rPr>
  </w:style>
  <w:style w:type="paragraph" w:styleId="FootnoteText">
    <w:name w:val="footnote text"/>
    <w:basedOn w:val="Normal"/>
    <w:pPr/>
    <w:rPr>
      <w:sz w:val="20"/>
      <w:lang w:val="es-ES"/>
    </w:rPr>
  </w:style>
  <w:style w:type="paragraph" w:styleId="BodyTextIndent">
    <w:name w:val="Body Text Indent"/>
    <w:basedOn w:val="Normal"/>
    <w:pPr>
      <w:widowControl w:val="false"/>
    </w:pPr>
    <w:rPr>
      <w:b/>
      <w:lang w:val="en-US"/>
    </w:rPr>
  </w:style>
  <w:style w:type="paragraph" w:styleId="BlockText">
    <w:name w:val="Block Text"/>
    <w:basedOn w:val="Normal"/>
    <w:qFormat/>
    <w:pPr>
      <w:tabs>
        <w:tab w:val="clear" w:pos="567"/>
        <w:tab w:val="left" w:pos="1276" w:leader="none"/>
      </w:tabs>
      <w:ind w:hanging="567" w:start="709" w:end="51"/>
      <w:jc w:val="both"/>
    </w:pPr>
    <w:rPr>
      <w:rFonts w:ascii="Arial;Helvetica" w:hAnsi="Arial;Helvetica" w:cs="Arial;Helvetica"/>
      <w:sz w:val="16"/>
      <w:lang w:val="en-US"/>
    </w:rPr>
  </w:style>
  <w:style w:type="paragraph" w:styleId="EndnoteText">
    <w:name w:val="endnote text"/>
    <w:basedOn w:val="Normal"/>
    <w:pPr/>
    <w:rPr>
      <w:rFonts w:ascii="New Century Schlbk;Century Schoolbook" w:hAnsi="New Century Schlbk;Century Schoolbook" w:cs="New Century Schlbk;Century Schoolbook"/>
      <w:sz w:val="20"/>
    </w:rPr>
  </w:style>
  <w:style w:type="paragraph" w:styleId="bodytext1">
    <w:name w:val="body text1"/>
    <w:basedOn w:val="Normal"/>
    <w:qFormat/>
    <w:pPr>
      <w:spacing w:before="0" w:after="240"/>
      <w:jc w:val="both"/>
    </w:pPr>
    <w:rPr>
      <w:rFonts w:ascii="New Century Schlbk;Century Schoolbook" w:hAnsi="New Century Schlbk;Century Schoolbook" w:cs="New Century Schlbk;Century Schoolbook"/>
      <w:color w:val="0000F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2001-10-02T09:03:00Z</dcterms:created>
  <dc:creator>Tim Mackey</dc:creator>
  <dc:description/>
  <dc:language>en-CA</dc:language>
  <cp:lastModifiedBy>US-PECC</cp:lastModifiedBy>
  <cp:lastPrinted>2001-09-13T16:52:00Z</cp:lastPrinted>
  <dcterms:modified xsi:type="dcterms:W3CDTF">2001-10-02T09:03:00Z</dcterms:modified>
  <cp:revision>2</cp:revision>
  <dc:subject/>
  <dc:title>maewoirupoi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r8>3</vt:r8>
  </property>
</Properties>
</file>