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end"/>
        <w:rPr/>
      </w:pPr>
      <w:r>
        <w:rPr/>
        <w:t>Bidder A</w:t>
      </w:r>
    </w:p>
    <w:p>
      <w:pPr>
        <w:pStyle w:val="Normal"/>
        <w:tabs>
          <w:tab w:val="clear" w:pos="720"/>
          <w:tab w:val="left" w:pos="990" w:leader="none"/>
        </w:tabs>
        <w:jc w:val="end"/>
        <w:rPr/>
      </w:pPr>
      <w:r>
        <w:rPr/>
        <w:t>December 7, 2000</w:t>
      </w:r>
    </w:p>
    <w:p>
      <w:pPr>
        <w:pStyle w:val="Normal"/>
        <w:tabs>
          <w:tab w:val="clear" w:pos="720"/>
          <w:tab w:val="left" w:pos="990" w:leader="none"/>
        </w:tabs>
        <w:jc w:val="center"/>
        <w:rPr/>
      </w:pPr>
      <w:r>
        <w:rPr/>
      </w:r>
    </w:p>
    <w:p>
      <w:pPr>
        <w:pStyle w:val="Normal"/>
        <w:tabs>
          <w:tab w:val="clear" w:pos="720"/>
          <w:tab w:val="left" w:pos="990" w:leader="none"/>
        </w:tabs>
        <w:jc w:val="center"/>
        <w:rPr/>
      </w:pPr>
      <w:r>
        <w:rPr/>
      </w:r>
    </w:p>
    <w:p>
      <w:pPr>
        <w:pStyle w:val="Normal"/>
        <w:tabs>
          <w:tab w:val="clear" w:pos="720"/>
          <w:tab w:val="left" w:pos="990" w:leader="none"/>
        </w:tabs>
        <w:jc w:val="center"/>
        <w:rPr/>
      </w:pPr>
      <w:r>
        <w:rPr/>
      </w:r>
    </w:p>
    <w:p>
      <w:pPr>
        <w:pStyle w:val="Normal"/>
        <w:tabs>
          <w:tab w:val="clear" w:pos="720"/>
          <w:tab w:val="left" w:pos="990" w:leader="none"/>
        </w:tabs>
        <w:jc w:val="center"/>
        <w:rPr/>
      </w:pPr>
      <w:r>
        <w:rPr/>
        <w:t>SUBLEASE AGREEMENT OUTSTANDING MATTERS</w:t>
      </w:r>
    </w:p>
    <w:p>
      <w:pPr>
        <w:pStyle w:val="Normal"/>
        <w:tabs>
          <w:tab w:val="clear" w:pos="720"/>
          <w:tab w:val="left" w:pos="990" w:leader="none"/>
        </w:tabs>
        <w:jc w:val="center"/>
        <w:rPr/>
      </w:pPr>
      <w:r>
        <w:rPr/>
      </w:r>
    </w:p>
    <w:p>
      <w:pPr>
        <w:pStyle w:val="Normal"/>
        <w:tabs>
          <w:tab w:val="clear" w:pos="720"/>
          <w:tab w:val="left" w:pos="990" w:leader="none"/>
        </w:tabs>
        <w:rPr/>
      </w:pPr>
      <w:r>
        <w:rPr/>
        <w:t>1.</w:t>
        <w:tab/>
        <w:t>Section 5.02(k): HPL must have a representation and warranty with respect to the condition and sufficiency of the Leased facilities as at the Closing (this is not a continuing rep and warranty nor is it a covenant).  Enron characterizes the Sublease as a "purchase" of the Leased Facilities, and with respect to the condition and sufficiency of the "purchased assets",  AEP's  due diligence cannot provide knowledge as to the condition of the Leased Facilities equivalent to that of Enron, and, in any event, AEP's due diligence efforts will be "stale" by the Closing which will occur months after due diligence was completed.</w:t>
      </w:r>
    </w:p>
    <w:p>
      <w:pPr>
        <w:pStyle w:val="Normal"/>
        <w:tabs>
          <w:tab w:val="clear" w:pos="720"/>
          <w:tab w:val="left" w:pos="990" w:leader="none"/>
        </w:tabs>
        <w:rPr/>
      </w:pPr>
      <w:r>
        <w:rPr/>
      </w:r>
    </w:p>
    <w:p>
      <w:pPr>
        <w:pStyle w:val="Normal"/>
        <w:tabs>
          <w:tab w:val="clear" w:pos="720"/>
          <w:tab w:val="left" w:pos="990" w:leader="none"/>
        </w:tabs>
        <w:rPr/>
      </w:pPr>
      <w:r>
        <w:rPr/>
        <w:t>2.</w:t>
        <w:tab/>
        <w:t>Section 6.08:</w:t>
        <w:tab/>
        <w:t>HPL requires indemnity against defects in the title to the Bammel Unit in addition to trespass claims relating to gas migration, because of the value of the Bammel Unit is a principal part of the entire transaction and  the availability of rights to all of the capacity of the Bammel Unit as it now exists was a principal basis for AEP's bid.</w:t>
      </w:r>
    </w:p>
    <w:p>
      <w:pPr>
        <w:pStyle w:val="Normal"/>
        <w:tabs>
          <w:tab w:val="clear" w:pos="720"/>
          <w:tab w:val="left" w:pos="990" w:leader="none"/>
        </w:tabs>
        <w:rPr/>
      </w:pPr>
      <w:r>
        <w:rPr/>
      </w:r>
    </w:p>
    <w:p>
      <w:pPr>
        <w:pStyle w:val="Normal"/>
        <w:tabs>
          <w:tab w:val="clear" w:pos="720"/>
          <w:tab w:val="left" w:pos="990" w:leader="none"/>
        </w:tabs>
        <w:rPr/>
      </w:pPr>
      <w:r>
        <w:rPr/>
        <w:t>3.</w:t>
        <w:tab/>
        <w:t>Section 12.01(c):</w:t>
        <w:tab/>
        <w:t>Enron must not "monetize" the Leased Facilities and expose AEP to greater loss of access to those facilities than is now the case; AEP does not object to Enron's monetization of only the Sublease rental stream of payments.</w:t>
      </w:r>
    </w:p>
    <w:p>
      <w:pPr>
        <w:pStyle w:val="Normal"/>
        <w:tabs>
          <w:tab w:val="clear" w:pos="720"/>
          <w:tab w:val="left" w:pos="990" w:leader="none"/>
        </w:tabs>
        <w:rPr/>
      </w:pPr>
      <w:r>
        <w:rPr/>
      </w:r>
    </w:p>
    <w:p>
      <w:pPr>
        <w:pStyle w:val="Normal"/>
        <w:tabs>
          <w:tab w:val="clear" w:pos="720"/>
          <w:tab w:val="left" w:pos="990" w:leader="none"/>
        </w:tabs>
        <w:rPr/>
      </w:pPr>
      <w:r>
        <w:rPr/>
        <w:t>4.</w:t>
        <w:tab/>
        <w:t>Section 14.04:</w:t>
        <w:tab/>
        <w:t>AEP and Enron must have confidentiality with respect to the terms and provisions of the Sublease, which represent competitively sensitive information.</w:t>
      </w:r>
    </w:p>
    <w:p>
      <w:pPr>
        <w:pStyle w:val="Normal"/>
        <w:tabs>
          <w:tab w:val="clear" w:pos="720"/>
          <w:tab w:val="left" w:pos="990" w:leader="none"/>
        </w:tabs>
        <w:rPr/>
      </w:pPr>
      <w:r>
        <w:rPr/>
      </w:r>
    </w:p>
    <w:p>
      <w:pPr>
        <w:pStyle w:val="Normal"/>
        <w:tabs>
          <w:tab w:val="clear" w:pos="720"/>
          <w:tab w:val="left" w:pos="990" w:leader="none"/>
        </w:tabs>
        <w:rPr/>
      </w:pPr>
      <w:r>
        <w:rPr/>
        <w:t>5.</w:t>
        <w:tab/>
        <w:t>Section 14.11:</w:t>
        <w:tab/>
        <w:t xml:space="preserve">Indemnity should not include the Indemnified Party's negligence or violation of law.   </w:t>
      </w:r>
    </w:p>
    <w:p>
      <w:pPr>
        <w:pStyle w:val="Normal"/>
        <w:tabs>
          <w:tab w:val="clear" w:pos="720"/>
          <w:tab w:val="left" w:pos="990" w:leader="none"/>
        </w:tabs>
        <w:rPr/>
      </w:pPr>
      <w:r>
        <w:rPr/>
      </w:r>
    </w:p>
    <w:p>
      <w:pPr>
        <w:pStyle w:val="Normal"/>
        <w:tabs>
          <w:tab w:val="clear" w:pos="720"/>
          <w:tab w:val="left" w:pos="990" w:leader="none"/>
        </w:tabs>
        <w:jc w:val="center"/>
        <w:rPr/>
      </w:pPr>
      <w:r>
        <w:rPr/>
      </w:r>
    </w:p>
    <w:p>
      <w:pPr>
        <w:pStyle w:val="Normal"/>
        <w:tabs>
          <w:tab w:val="clear" w:pos="720"/>
          <w:tab w:val="left" w:pos="990" w:leader="none"/>
        </w:tabs>
        <w:jc w:val="center"/>
        <w:rPr/>
      </w:pPr>
      <w:r>
        <w:rPr/>
      </w:r>
    </w:p>
    <w:p>
      <w:pPr>
        <w:pStyle w:val="Normal"/>
        <w:tabs>
          <w:tab w:val="clear" w:pos="720"/>
          <w:tab w:val="left" w:pos="990" w:leader="none"/>
        </w:tabs>
        <w:jc w:val="center"/>
        <w:rPr/>
      </w:pPr>
      <w:r>
        <w:rPr/>
        <w:t>RIGHT TO USE AGREEMENT OUTSTANDING MATTERS</w:t>
      </w:r>
    </w:p>
    <w:p>
      <w:pPr>
        <w:pStyle w:val="Normal"/>
        <w:tabs>
          <w:tab w:val="clear" w:pos="720"/>
          <w:tab w:val="left" w:pos="990" w:leader="none"/>
        </w:tabs>
        <w:jc w:val="center"/>
        <w:rPr/>
      </w:pPr>
      <w:r>
        <w:rPr/>
      </w:r>
    </w:p>
    <w:p>
      <w:pPr>
        <w:pStyle w:val="Normal"/>
        <w:tabs>
          <w:tab w:val="clear" w:pos="720"/>
          <w:tab w:val="left" w:pos="990" w:leader="none"/>
        </w:tabs>
        <w:rPr/>
      </w:pPr>
      <w:r>
        <w:rPr/>
        <w:t>1.</w:t>
        <w:tab/>
        <w:t>Section 2.01(c) and Section 3.01 (b):</w:t>
        <w:tab/>
        <w:t>HPL has added to the RUA, and must have, a covenant by LeaseCo that it will not create any new Liens on either the Cushion Gas or the Facilities in connection with new or replacement monetizations, except that in Section 2.01(c), LeaseCo can "roll" the Cushion Gas monetization.</w:t>
      </w:r>
    </w:p>
    <w:p>
      <w:pPr>
        <w:pStyle w:val="Normal"/>
        <w:tabs>
          <w:tab w:val="clear" w:pos="720"/>
          <w:tab w:val="left" w:pos="990" w:leader="none"/>
        </w:tabs>
        <w:rPr/>
      </w:pPr>
      <w:r>
        <w:rPr/>
      </w:r>
    </w:p>
    <w:p>
      <w:pPr>
        <w:pStyle w:val="Normal"/>
        <w:tabs>
          <w:tab w:val="clear" w:pos="720"/>
          <w:tab w:val="left" w:pos="990" w:leader="none"/>
        </w:tabs>
        <w:rPr/>
      </w:pPr>
      <w:r>
        <w:rPr/>
        <w:t>2.</w:t>
        <w:tab/>
        <w:t>Section 5.01(l):</w:t>
        <w:tab/>
        <w:t>Same comment as comment 1 for the Sublease.</w:t>
      </w:r>
    </w:p>
    <w:p>
      <w:pPr>
        <w:pStyle w:val="Normal"/>
        <w:tabs>
          <w:tab w:val="clear" w:pos="720"/>
          <w:tab w:val="left" w:pos="990" w:leader="none"/>
        </w:tabs>
        <w:rPr/>
      </w:pPr>
      <w:r>
        <w:rPr/>
      </w:r>
    </w:p>
    <w:p>
      <w:pPr>
        <w:pStyle w:val="Normal"/>
        <w:tabs>
          <w:tab w:val="clear" w:pos="720"/>
          <w:tab w:val="left" w:pos="990" w:leader="none"/>
        </w:tabs>
        <w:rPr/>
      </w:pPr>
      <w:r>
        <w:rPr/>
        <w:t>3.</w:t>
        <w:tab/>
        <w:t>Section 9.12:</w:t>
        <w:tab/>
        <w:t xml:space="preserve">Same comment as comment 5 for the Sublease.   </w:t>
      </w:r>
    </w:p>
    <w:p>
      <w:pPr>
        <w:pStyle w:val="Normal"/>
        <w:tabs>
          <w:tab w:val="clear" w:pos="720"/>
          <w:tab w:val="left" w:pos="990" w:leader="none"/>
        </w:tabs>
        <w:rPr/>
      </w:pPr>
      <w:r>
        <w:rPr/>
        <w:t xml:space="preserve">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44360.1 04561 00374 12/7/00 2:47:53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2000-12-07T18:08:00Z</dcterms:created>
  <dc:creator>LeBoeuf, Lamb, Greene &amp; MacRae, L.L.P.</dc:creator>
  <dc:description/>
  <cp:keywords>HN 44360.1 04561 00374 12/7/00 2:47:53 PM</cp:keywords>
  <dc:language>en-CA</dc:language>
  <cp:lastModifiedBy>LeBoeuf, Lamb, Greene &amp; MacRae, L.L.P.</cp:lastModifiedBy>
  <cp:lastPrinted>2000-12-07T14:47:00Z</cp:lastPrinted>
  <dcterms:modified xsi:type="dcterms:W3CDTF">2000-12-07T18:32:00Z</dcterms:modified>
  <cp:revision>11</cp:revision>
  <dc:subject/>
  <dc:title>Heading 1</dc:title>
</cp:coreProperties>
</file>