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OMNIBUS CONSENT</w:t>
      </w:r>
    </w:p>
    <w:p>
      <w:pPr>
        <w:pStyle w:val="BodyTextFirstIndent"/>
        <w:rPr/>
      </w:pPr>
      <w:r>
        <w:rPr/>
        <w:t>This OMNIBUS CONSENT (this “</w:t>
      </w:r>
      <w:r>
        <w:rPr>
          <w:u w:val="single"/>
        </w:rPr>
        <w:t>Consent</w:t>
      </w:r>
      <w:r>
        <w:rPr/>
        <w:t>”) is entered into as of __________ ___, 2000, by BANKBOSTON, N.A., as administrative agent (in such capacity, the “</w:t>
      </w:r>
      <w:r>
        <w:rPr>
          <w:u w:val="single"/>
        </w:rPr>
        <w:t>Administrative Agent</w:t>
      </w:r>
      <w:r>
        <w:rPr/>
        <w:t>”) for the Secured Parties (as defined in the Credit Agreement referred to below) and CREDIT LYONNAIS NEW YORK BRANCH (“</w:t>
      </w:r>
      <w:r>
        <w:rPr>
          <w:u w:val="single"/>
        </w:rPr>
        <w:t>CL</w:t>
      </w:r>
      <w:r>
        <w:rPr/>
        <w:t>”).</w:t>
      </w:r>
    </w:p>
    <w:p>
      <w:pPr>
        <w:pStyle w:val="BodyTextFirstIndent"/>
        <w:rPr/>
      </w:pPr>
      <w:r>
        <w:rPr/>
        <w:t>WHEREAS, Pursuant to the Construction and Term Credit Agreement (the “</w:t>
      </w:r>
      <w:r>
        <w:rPr>
          <w:u w:val="single"/>
        </w:rPr>
        <w:t>Credit Agreement</w:t>
      </w:r>
      <w:r>
        <w:rPr/>
        <w:t>”), dated as of April 16, 1999, among Fort Union Gas Gathering, L.L.C. (the “</w:t>
      </w:r>
      <w:r>
        <w:rPr>
          <w:u w:val="single"/>
        </w:rPr>
        <w:t>Borrower</w:t>
      </w:r>
      <w:r>
        <w:rPr/>
        <w:t>”), each of the lenders that is or may from time to time become a party to the Credit Agreement (the “</w:t>
      </w:r>
      <w:r>
        <w:rPr>
          <w:u w:val="single"/>
        </w:rPr>
        <w:t>Banks</w:t>
      </w:r>
      <w:r>
        <w:rPr/>
        <w:t xml:space="preserve">”), BankBoston, N.A., as Administrative Agent for the Banks, BancBoston Robertson Stephens Inc. and Credit Lyonnais New York Branch, as co-arrangers, BancBoston Robertson Stephens Inc. as syndication agent, and Credit Lyonnais New York Branch, as documentation agent, the Banks agreed to extend credit to the Borrower on the terms and subject to the conditions set forth in the Credit Agreement; </w:t>
      </w:r>
    </w:p>
    <w:p>
      <w:pPr>
        <w:pStyle w:val="BodyTextFirstIndent"/>
        <w:rPr/>
      </w:pPr>
      <w:r>
        <w:rPr/>
        <w:t>WHEREAS, to induce the Administrative Agent and the Banks to enter into the Basic Documents (as defined in the Credit Agreement), and to extend credit under the Credit Agreement, and for other good and valuable consideration, the receipt and sufficiency of which is hereby acknowledged, Enron Corp., an Oregon corporation (the “</w:t>
      </w:r>
      <w:r>
        <w:rPr>
          <w:u w:val="single"/>
        </w:rPr>
        <w:t>Guarantor</w:t>
      </w:r>
      <w:r>
        <w:rPr/>
        <w:t>”) executed that certain Sponsor Guarantee (the “</w:t>
      </w:r>
      <w:r>
        <w:rPr>
          <w:u w:val="single"/>
        </w:rPr>
        <w:t>Sponsor Guarantee</w:t>
      </w:r>
      <w:r>
        <w:rPr/>
        <w:t>”) dated as of April 16, 1999 in favor of the Administrative Agent for the Secured Parties, as supplemented by Guarantee Supplement No. 1 dated as of April 16, 1999 (“</w:t>
      </w:r>
      <w:r>
        <w:rPr>
          <w:u w:val="single"/>
        </w:rPr>
        <w:t>Supplement No. 1</w:t>
      </w:r>
      <w:r>
        <w:rPr/>
        <w:t>”), Guarantee Supplement No. 2 dated as of December 29, 1999 (“</w:t>
      </w:r>
      <w:r>
        <w:rPr>
          <w:u w:val="single"/>
        </w:rPr>
        <w:t>Supplement No. 2</w:t>
      </w:r>
      <w:r>
        <w:rPr/>
        <w:t>”) and Guarantee Supplement No. 3 dated as of December 29, 1999 (“</w:t>
      </w:r>
      <w:r>
        <w:rPr>
          <w:u w:val="single"/>
        </w:rPr>
        <w:t>Supplement No. 3</w:t>
      </w:r>
      <w:r>
        <w:rPr/>
        <w:t>”) (the Sponsor Guarantee, as supplemented, by Supplement No. 2 and Supplement No. 3 collectively, the “</w:t>
      </w:r>
      <w:r>
        <w:rPr>
          <w:u w:val="single"/>
        </w:rPr>
        <w:t>Guarantee</w:t>
      </w:r>
      <w:r>
        <w:rPr/>
        <w:t xml:space="preserve">”); </w:t>
      </w:r>
    </w:p>
    <w:p>
      <w:pPr>
        <w:pStyle w:val="BodyTextFirstIndent"/>
        <w:rPr/>
      </w:pPr>
      <w:r>
        <w:rPr/>
        <w:t xml:space="preserve">WHEREAS, Supplement No. 1 has expired by its terms; </w:t>
      </w:r>
    </w:p>
    <w:p>
      <w:pPr>
        <w:pStyle w:val="BodyTextFirstIndent"/>
        <w:rPr/>
      </w:pPr>
      <w:r>
        <w:rPr/>
        <w:t>WHEREAS, to further induce the Administrative Agent and the Banks to enter into the Basic Documents (as defined in the Credit Agreement), and to extend credit under the Credit Agreement, and for other good and valuable consideration, the receipt and sufficiency of which is hereby acknowledged, Enron North America Corp., a Delaware corporation (formerly known as Enron Capital &amp; Trade Resources Corp.) (the “</w:t>
      </w:r>
      <w:r>
        <w:rPr>
          <w:u w:val="single"/>
        </w:rPr>
        <w:t>Consenting Party</w:t>
      </w:r>
      <w:r>
        <w:rPr/>
        <w:t>”) and the Administrative Agent entered into that certain Consent to Assignment (the “</w:t>
      </w:r>
      <w:r>
        <w:rPr>
          <w:u w:val="single"/>
        </w:rPr>
        <w:t>Consent to Assignment</w:t>
      </w:r>
      <w:r>
        <w:rPr/>
        <w:t>”) dated as of April 16, 1999;</w:t>
      </w:r>
    </w:p>
    <w:p>
      <w:pPr>
        <w:pStyle w:val="BodyTextFirstIndent"/>
        <w:rPr/>
      </w:pPr>
      <w:r>
        <w:rPr/>
        <w:t>WHEREAS, as of the date hereof Consenting Party has assigned the Assigned Agreement (as defined in the Consent to Assignment) to [_________________].</w:t>
      </w:r>
    </w:p>
    <w:p>
      <w:pPr>
        <w:pStyle w:val="BodyTextFirstIndent"/>
        <w:rPr/>
      </w:pPr>
      <w:r>
        <w:rPr/>
        <w:t>WHEREAS, the Guarantor desires to assign the Guarantee to [_____________] (the “</w:t>
      </w:r>
      <w:r>
        <w:rPr>
          <w:u w:val="single"/>
        </w:rPr>
        <w:t>Assignee</w:t>
      </w:r>
      <w:r>
        <w:rPr/>
        <w:t xml:space="preserve">”) pursuant to Section 11 of the Guarantee; </w:t>
      </w:r>
    </w:p>
    <w:p>
      <w:pPr>
        <w:pStyle w:val="BodyTextFirstIndent"/>
        <w:rPr/>
      </w:pPr>
      <w:r>
        <w:rPr/>
        <w:t>WHEREAS, BankBoston, N.A. and Credit Lyonnais New York Branch (collectively the “</w:t>
      </w:r>
      <w:r>
        <w:rPr>
          <w:u w:val="single"/>
        </w:rPr>
        <w:t>Majority Banks</w:t>
      </w:r>
      <w:r>
        <w:rPr/>
        <w:t xml:space="preserve">”) together hold at least 51% of the aggregate unpaid principal amount of the Loans; </w:t>
      </w:r>
    </w:p>
    <w:p>
      <w:pPr>
        <w:pStyle w:val="BodyTextFirstIndent"/>
        <w:rPr/>
      </w:pPr>
      <w:r>
        <w:rPr/>
        <w:t>WHEREAS, Guarantor has requested the Administrative Agent to consent to the above described assignment of the Guarantor; and</w:t>
      </w:r>
    </w:p>
    <w:p>
      <w:pPr>
        <w:pStyle w:val="BodyTextFirstIndent"/>
        <w:rPr/>
      </w:pPr>
      <w:r>
        <w:rPr/>
        <w:t>WHEREAS, Consenting Party has requested the Administrative Agent to terminate the Consent to Assignment and release Consenting Party from any further obligations thereunder.</w:t>
      </w:r>
    </w:p>
    <w:p>
      <w:pPr>
        <w:pStyle w:val="BodyTextFirstIndent"/>
        <w:rPr/>
      </w:pPr>
      <w:r>
        <w:rPr/>
        <w:t>NOW THEREFORE, for and in consideration of the mutual promises, covenants and agreements set forth herein and other good and valuable consideration, the receipt and sufficiency of which are hereby acknowledged, the Administrative Agent and CL hereby agree as follows:</w:t>
      </w:r>
    </w:p>
    <w:p>
      <w:pPr>
        <w:pStyle w:val="ListNumber"/>
        <w:numPr>
          <w:ilvl w:val="0"/>
          <w:numId w:val="1"/>
        </w:numPr>
        <w:ind w:hanging="0" w:start="0"/>
        <w:rPr/>
      </w:pPr>
      <w:r>
        <w:rPr/>
        <w:t>The Majority Banks hereby direct the Administrative Agent to (i) consent to the assignment of the Guarantee by the Guarantor to the Assignee on the terms and conditions set forth herein and (ii) terminate the Consent to Assignment and release and discharge the Consenting Party from further liability thereunder.</w:t>
      </w:r>
    </w:p>
    <w:p>
      <w:pPr>
        <w:pStyle w:val="ListNumber"/>
        <w:numPr>
          <w:ilvl w:val="0"/>
          <w:numId w:val="1"/>
        </w:numPr>
        <w:ind w:hanging="0" w:start="0"/>
        <w:rPr/>
      </w:pPr>
      <w:r>
        <w:rPr/>
        <w:t>The Administrative Agent hereby irrevocably consents to the assignment of the Guarantee by the Guarantor to the Assignee and acknowledges that pursuant to Section 11 of the Guarantee, the Guarantor is hereby released and forever discharged from any obligations thereunder.</w:t>
      </w:r>
    </w:p>
    <w:p>
      <w:pPr>
        <w:pStyle w:val="ListNumber"/>
        <w:numPr>
          <w:ilvl w:val="0"/>
          <w:numId w:val="1"/>
        </w:numPr>
        <w:ind w:hanging="0" w:start="0"/>
        <w:rPr/>
      </w:pPr>
      <w:r>
        <w:rPr/>
        <w:t>The Administrative Agent and the Majority Banks agree to perform, execute and deliver or cause to be performed, executed and delivered any and all such further acts and assurances as may be necessary to consummate the actions contemplated in this Consent.</w:t>
      </w:r>
    </w:p>
    <w:p>
      <w:pPr>
        <w:pStyle w:val="ListNumber"/>
        <w:numPr>
          <w:ilvl w:val="0"/>
          <w:numId w:val="1"/>
        </w:numPr>
        <w:ind w:hanging="0" w:start="0"/>
        <w:rPr/>
      </w:pPr>
      <w:r>
        <w:rPr/>
        <w:t>This Consent shall in all respects be governed by, and construed in accordance with, the law of the State of New York applicable to contracts made and to be performed in such state.</w:t>
      </w:r>
    </w:p>
    <w:p>
      <w:pPr>
        <w:pStyle w:val="BodyTextFirstIndent"/>
        <w:rPr/>
      </w:pPr>
      <w:r>
        <w:rPr/>
        <w:t>Executed effective the date written above.</w:t>
      </w:r>
    </w:p>
    <w:p>
      <w:pPr>
        <w:pStyle w:val="Signature"/>
        <w:rPr/>
      </w:pPr>
      <w:r>
        <w:rPr>
          <w:u w:val="single"/>
        </w:rPr>
        <w:t>ADMINISTRATIVE AGENT</w:t>
      </w:r>
      <w:r>
        <w:rPr/>
        <w:t>:</w:t>
      </w:r>
    </w:p>
    <w:p>
      <w:pPr>
        <w:pStyle w:val="Signature"/>
        <w:rPr/>
      </w:pPr>
      <w:r>
        <w:rPr/>
      </w:r>
    </w:p>
    <w:p>
      <w:pPr>
        <w:pStyle w:val="Signature"/>
        <w:rPr/>
      </w:pPr>
      <w:r>
        <w:rPr/>
        <w:t>BANKBOSTON, N.A.</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pPr>
      <w:r>
        <w:rPr/>
      </w:r>
    </w:p>
    <w:p>
      <w:pPr>
        <w:pStyle w:val="Signature"/>
        <w:rPr/>
      </w:pPr>
      <w:r>
        <w:rPr/>
      </w:r>
    </w:p>
    <w:p>
      <w:pPr>
        <w:pStyle w:val="Signature"/>
        <w:rPr/>
      </w:pPr>
      <w:r>
        <w:rPr/>
      </w:r>
    </w:p>
    <w:p>
      <w:pPr>
        <w:pStyle w:val="Signature"/>
        <w:keepNext w:val="true"/>
        <w:keepLines/>
        <w:rPr/>
      </w:pPr>
      <w:r>
        <w:rPr>
          <w:u w:val="single"/>
        </w:rPr>
        <w:t>MAJORITY BANKS</w:t>
      </w:r>
      <w:r>
        <w:rPr/>
        <w:t>:</w:t>
      </w:r>
    </w:p>
    <w:p>
      <w:pPr>
        <w:pStyle w:val="Signature"/>
        <w:keepNext w:val="true"/>
        <w:keepLines/>
        <w:rPr/>
      </w:pPr>
      <w:r>
        <w:rPr/>
      </w:r>
    </w:p>
    <w:p>
      <w:pPr>
        <w:pStyle w:val="Signature"/>
        <w:keepNext w:val="true"/>
        <w:keepLines/>
        <w:rPr/>
      </w:pPr>
      <w:r>
        <w:rPr/>
        <w:t>BANKBOSTON, N.A.</w:t>
      </w:r>
    </w:p>
    <w:p>
      <w:pPr>
        <w:pStyle w:val="Signature"/>
        <w:keepNext w:val="true"/>
        <w:keepLines/>
        <w:rPr/>
      </w:pPr>
      <w:r>
        <w:rPr/>
      </w:r>
    </w:p>
    <w:p>
      <w:pPr>
        <w:pStyle w:val="Signature"/>
        <w:keepNext w:val="true"/>
        <w:keepLines/>
        <w:rPr/>
      </w:pPr>
      <w:r>
        <w:rPr/>
      </w:r>
    </w:p>
    <w:p>
      <w:pPr>
        <w:pStyle w:val="Signature"/>
        <w:keepNext w:val="true"/>
        <w:keepLines/>
        <w:rPr/>
      </w:pPr>
      <w:r>
        <w:rPr/>
        <w:t xml:space="preserve">By:  </w:t>
      </w:r>
      <w:r>
        <w:rPr>
          <w:u w:val="single"/>
        </w:rPr>
        <w:tab/>
        <w:tab/>
        <w:tab/>
        <w:tab/>
        <w:tab/>
        <w:tab/>
      </w:r>
    </w:p>
    <w:p>
      <w:pPr>
        <w:pStyle w:val="Signature"/>
        <w:keepNext w:val="true"/>
        <w:keepLines/>
        <w:rPr/>
      </w:pPr>
      <w:r>
        <w:rPr/>
        <w:t xml:space="preserve">Name:  </w:t>
      </w:r>
      <w:r>
        <w:rPr>
          <w:u w:val="single"/>
        </w:rPr>
        <w:tab/>
        <w:tab/>
        <w:tab/>
        <w:tab/>
        <w:tab/>
      </w:r>
    </w:p>
    <w:p>
      <w:pPr>
        <w:pStyle w:val="Signature"/>
        <w:keepNext w:val="true"/>
        <w:keepLines/>
        <w:rPr/>
      </w:pPr>
      <w:r>
        <w:rPr/>
        <w:t xml:space="preserve">Title:  </w:t>
      </w:r>
      <w:r>
        <w:rPr>
          <w:u w:val="single"/>
        </w:rPr>
        <w:tab/>
        <w:tab/>
        <w:tab/>
        <w:tab/>
        <w:tab/>
        <w:tab/>
      </w:r>
    </w:p>
    <w:p>
      <w:pPr>
        <w:pStyle w:val="Signature"/>
        <w:rPr/>
      </w:pPr>
      <w:r>
        <w:rPr/>
      </w:r>
    </w:p>
    <w:p>
      <w:pPr>
        <w:pStyle w:val="Signature"/>
        <w:rPr/>
      </w:pPr>
      <w:r>
        <w:rPr/>
      </w:r>
    </w:p>
    <w:p>
      <w:pPr>
        <w:pStyle w:val="Signature"/>
        <w:rPr/>
      </w:pPr>
      <w:r>
        <w:rPr/>
        <w:t>CREDIT LYONNAIS NEW YORK BRANCH</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561958-1</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561958-1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A&amp;K DRAFT OF 8/10/00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656"/>
        </w:tabs>
        <w:ind w:start="360" w:firstLine="936"/>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1"/>
      </w:numPr>
      <w:spacing w:before="0" w:after="240"/>
      <w:jc w:val="both"/>
    </w:pPr>
    <w:rPr>
      <w:sz w:val="24"/>
    </w:rPr>
  </w:style>
  <w:style w:type="paragraph" w:styleId="Signature">
    <w:name w:val="Signature"/>
    <w:basedOn w:val="Normal"/>
    <w:pPr>
      <w:ind w:hanging="0" w:start="4320" w:end="0"/>
    </w:pPr>
    <w:rPr>
      <w:sz w:val="24"/>
    </w:rPr>
  </w:style>
  <w:style w:type="paragraph" w:styleId="BodyTextFirstIndent">
    <w:name w:val="Body Text First Indent"/>
    <w:basedOn w:val="BodyText"/>
    <w:qFormat/>
    <w:pPr>
      <w:spacing w:before="0" w:after="240"/>
      <w:ind w:firstLine="144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2000-08-10T22:15:00Z</dcterms:created>
  <dc:creator>A&amp;K</dc:creator>
  <dc:description/>
  <dc:language>en-CA</dc:language>
  <cp:lastModifiedBy>A&amp;K</cp:lastModifiedBy>
  <cp:lastPrinted>2000-08-10T19:44:00Z</cp:lastPrinted>
  <dcterms:modified xsi:type="dcterms:W3CDTF">2000-08-10T22:15:00Z</dcterms:modified>
  <cp:revision>2</cp:revision>
  <dc:subject/>
  <dc:title>CONSENT TO ASSIGNMENT</dc:title>
</cp:coreProperties>
</file>