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jc w:val="center"/>
        <w:rPr>
          <w:sz w:val="24"/>
          <w:lang w:eastAsia="en-US"/>
        </w:rPr>
      </w:pPr>
      <w:r>
        <w:rPr>
          <w:sz w:val="24"/>
          <w:lang w:eastAsia="en-US"/>
        </w:rPr>
        <w:t>CONSENTS AND ACKNOWLEDGEMENTS</w:t>
      </w:r>
    </w:p>
    <w:p>
      <w:pPr>
        <w:pStyle w:val="Normal"/>
        <w:widowControl w:val="false"/>
        <w:jc w:val="center"/>
        <w:rPr>
          <w:sz w:val="24"/>
          <w:lang w:eastAsia="en-US"/>
        </w:rPr>
      </w:pPr>
      <w:r>
        <w:rPr>
          <w:sz w:val="24"/>
          <w:lang w:eastAsia="en-US"/>
        </w:rPr>
        <w:t>OUTSTANDING MATTERS</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 xml:space="preserve">AEP and Enron legal counsel met on December 6 to discuss the monetizations related to the Leased Facilities, the cushion gas, and the compression facilities.  The parties agreed on certain items applicable to all of the Consents and Acknowledgements.  </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 xml:space="preserve">The parties agreed that appropriate monetization parties must be identified and all appropriate amendments, consents, assignments and releases must be obtained so that AEP may have quiet enjoyment of the Leased Facilities and Right to Use Assets the same as if it had purchased the same.  Enron's legal counsel also agreed that HPL and HPL Resources must be released from all liability, whether existing or arising in the future, when the various contracts, partnership interests and limited liability company interests are transferred to LeaseCo.  Enron will need to provide AEP with sufficient evidence that all necessary and appropriate actions have been taken, including review of documentation, appropriate representations and warranties and an opinion from Vinson &amp; Elkins with respect to consents and otherwise with respect to these arrangements.  While drafts of all necessary documents have not been prepared, the following specific issues have been identified, as follows:  </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CONSENT AND ACKNOWLEDGEMENT - LEASED FACILITIES</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 xml:space="preserve">1.  </w:t>
        <w:tab/>
        <w:t xml:space="preserve">According to the Sublease, AEP must allow LeaseCo a reasonable opportunity to cure any defaults before AEP may cure the default.  The Consent and Acknowledgement must therefore give AEP an additional period of time - after LeaseCo's cure period - to cure LeaseCo's default in order to be consistent with the Sublease requirements. AEP also insists on LeaseCo having a separate cure period, and AEP's cure period not commencing until expiration of LeaseCo's cure period, so that AEP will not serve as LeaseCo's bank.  </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 xml:space="preserve">2. </w:t>
        <w:tab/>
        <w:t>The Consent and Acknowledgement contains an acknowledgement by HPL Asset Holdings and LeaseCo that there are no defaults under the Prime Lease.  This acknowledgement must not be subject to a knowledge qualifier, particularly since Leaseco and HPL Asset Holdings are affiliates.</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 xml:space="preserve">3.  </w:t>
        <w:tab/>
        <w:t>AEP must be assured that it will have quiet enjoyment of the Leased Facilities.  It is therefore critical that HPL Asset Holdings provide a representation and warranty that it holds title to the Leased Facilities.</w:t>
      </w:r>
    </w:p>
    <w:p>
      <w:pPr>
        <w:pStyle w:val="Normal"/>
        <w:widowControl w:val="false"/>
        <w:jc w:val="both"/>
        <w:rPr>
          <w:sz w:val="24"/>
          <w:lang w:eastAsia="en-US"/>
        </w:rPr>
      </w:pPr>
      <w:r>
        <w:rPr>
          <w:sz w:val="24"/>
          <w:lang w:eastAsia="en-US"/>
        </w:rPr>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Normal"/>
        <w:widowControl w:val="false"/>
        <w:jc w:val="both"/>
        <w:rPr>
          <w:sz w:val="24"/>
          <w:lang w:eastAsia="en-US"/>
        </w:rPr>
      </w:pPr>
      <w:r>
        <w:rPr>
          <w:sz w:val="24"/>
          <w:lang w:eastAsia="en-US"/>
        </w:rPr>
        <w:t xml:space="preserve">4. </w:t>
        <w:tab/>
        <w:t xml:space="preserve">To protect AEP's interests in the event of a bankruptcy, the Consent and Acknowledgement must contain representations that HPL Asset Holdings and LeaseCo are single-purpose entities and a covenant that each will remain as single-purpose entities.  Enron's legal counsel agreed with the inclusion of this type of representation and covenant during a meeting held on December 6.  </w:t>
      </w:r>
    </w:p>
    <w:p>
      <w:pPr>
        <w:pStyle w:val="Normal"/>
        <w:widowControl w:val="false"/>
        <w:jc w:val="both"/>
        <w:rPr>
          <w:sz w:val="24"/>
          <w:lang w:eastAsia="en-US"/>
        </w:rPr>
      </w:pPr>
      <w:r>
        <w:rPr>
          <w:sz w:val="24"/>
          <w:lang w:eastAsia="en-US"/>
        </w:rPr>
        <w:t xml:space="preserve">5. </w:t>
        <w:tab/>
        <w:t>AEP must have a commitment that if HPL Asset Holdings terminates the Prime Lease, then the Sublease continues in effect between HPL Asset Holdings and HPL.</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6.</w:t>
        <w:tab/>
        <w:t>AEP needs to have a commitment that HPL Asset Holdings will comply with its obligations under the Prime Lease and that AEP would have the opportunity to enforce HPL Asset Holdings' obligations (such as the obligation to provide quiet enjoyment of the Leased Facilities).   Without this right, AEP would have to rely on one Enron affiliate (LeaseCo) pursuing another (HPL Asset Holdings).</w:t>
      </w:r>
    </w:p>
    <w:p>
      <w:pPr>
        <w:pStyle w:val="Normal"/>
        <w:widowControl w:val="false"/>
        <w:jc w:val="both"/>
        <w:rPr>
          <w:sz w:val="24"/>
          <w:lang w:eastAsia="en-US"/>
        </w:rPr>
      </w:pPr>
      <w:r>
        <w:rPr>
          <w:sz w:val="24"/>
          <w:lang w:eastAsia="en-US"/>
        </w:rPr>
        <w:t xml:space="preserve">    </w:t>
      </w:r>
    </w:p>
    <w:p>
      <w:pPr>
        <w:pStyle w:val="Normal"/>
        <w:widowControl w:val="false"/>
        <w:jc w:val="both"/>
        <w:rPr>
          <w:sz w:val="24"/>
          <w:lang w:eastAsia="en-US"/>
        </w:rPr>
      </w:pPr>
      <w:r>
        <w:rPr>
          <w:sz w:val="24"/>
          <w:lang w:eastAsia="en-US"/>
        </w:rPr>
        <w:t>7.</w:t>
        <w:tab/>
        <w:t>HPL Asset Holdings and LeaseCo must commit that they will not allow any liens to be placed on the Leased Facilities.  Enron's legal counsel agreed with this limitation during a meeting held on December 6.</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8.</w:t>
        <w:tab/>
        <w:t>HPL Asset Holdings must assign to HPL warranties from suppliers, etc.</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9.</w:t>
        <w:tab/>
        <w:t xml:space="preserve">HPL Asset Holdings and LeaseCo must agree not to amend the Prime Lease without the prior consent of HPL. </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CONSENT AND ACKNOWLEDGEMENT - CUSHION GAS</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1.</w:t>
        <w:tab/>
        <w:t xml:space="preserve">Bank of America (formerly NationsBank) will need to be a party to the Consent and Acknowledgement because it holds a perfected security interest in the cushion gas. </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2.</w:t>
        <w:tab/>
        <w:t>The Consent and Acknowledgement must give AEP an additional period of time - after LeaseCo's (or other defaulting parties) cure period - to cure a default.</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3.</w:t>
        <w:tab/>
        <w:t>There must be a provision which allows HPL to recover from LeaseCo (or other defaulting parties) the costs of curing any defaults.</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4.</w:t>
        <w:tab/>
        <w:t>LeaseCo must commit and the parties to the monetization must agree that only "Exchange Gas", and not the cushion gas, will be used to satisfy LeaseCo's obligations under the Pressurization Agreement.  Likewise, Enron North America must commit to market only "Exchange Gas" under the Marketing Agreement. Enron's legal counsel agreed with the inclusion of this type of provision during the December 6 meeting.</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5.</w:t>
        <w:tab/>
        <w:t>AEP is agreeable to Enron rolling the existing monetization.  However, liens may not be imposed on the cushion gas.  Also, there must be no monetizations which are tied to broader monetizations.</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6.</w:t>
        <w:tab/>
        <w:t>AEP will need to have the right to "step into" the monetization.  This may be accomplished by having HPL retain the existing purchase option.</w:t>
      </w:r>
    </w:p>
    <w:p>
      <w:pPr>
        <w:pStyle w:val="Normal"/>
        <w:widowControl w:val="false"/>
        <w:jc w:val="both"/>
        <w:rPr>
          <w:sz w:val="24"/>
          <w:lang w:eastAsia="en-US"/>
        </w:rPr>
      </w:pPr>
      <w:r>
        <w:rPr>
          <w:sz w:val="24"/>
          <w:lang w:eastAsia="en-US"/>
        </w:rPr>
        <w:t xml:space="preserve"> </w:t>
      </w:r>
      <w:r>
        <w:br w:type="page"/>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CONSENT AND ACKNOWLEDGEMENT - COMPRESSION FACILITIES</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1.</w:t>
        <w:tab/>
        <w:t>The Consent and Acknowledgement must  give AEP an additional period of time - after LeaseCo's (or other defaulting parties) cure period - to cure a default.</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2.</w:t>
        <w:tab/>
        <w:t>There must be a provision which allows HPL to recover from LeaseCo (or other defaulting parties) the costs of curing any default.</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3.</w:t>
        <w:tab/>
        <w:t xml:space="preserve">There must be a restriction on the imposition of liens on the compression facilities. </w:t>
      </w:r>
    </w:p>
    <w:p>
      <w:pPr>
        <w:pStyle w:val="Normal"/>
        <w:widowControl w:val="false"/>
        <w:jc w:val="both"/>
        <w:rPr>
          <w:sz w:val="24"/>
          <w:lang w:eastAsia="en-US"/>
        </w:rPr>
      </w:pPr>
      <w:r>
        <w:rPr>
          <w:sz w:val="24"/>
          <w:lang w:eastAsia="en-US"/>
        </w:rPr>
      </w:r>
    </w:p>
    <w:p>
      <w:pPr>
        <w:pStyle w:val="Normal"/>
        <w:widowControl w:val="false"/>
        <w:jc w:val="both"/>
        <w:rPr>
          <w:sz w:val="24"/>
          <w:lang w:eastAsia="en-US"/>
        </w:rPr>
      </w:pPr>
      <w:r>
        <w:rPr>
          <w:sz w:val="24"/>
          <w:lang w:eastAsia="en-US"/>
        </w:rPr>
        <w:t>4.</w:t>
        <w:tab/>
        <w:t>The Consent must be clear that HCC and the parties to monetization have agreed to be bound by the restructure of the use of the compression facilities.</w:t>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HN 44303.4</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HN 44303.4</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Bidder A  7 Dec. 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2000-12-07T16:54:00Z</dcterms:created>
  <dc:creator>LeBoeuf, Lamb, Greene &amp; MacRae, L.L.P.</dc:creator>
  <dc:description/>
  <cp:keywords>HN 44303.4 99980 00100 12/7/00 2:24:30 PM</cp:keywords>
  <dc:language>en-CA</dc:language>
  <cp:lastModifiedBy>LeBoeuf, Lamb, Greene &amp; MacRae, L.L.P.</cp:lastModifiedBy>
  <cp:lastPrinted>2000-12-07T14:24:00Z</cp:lastPrinted>
  <dcterms:modified xsi:type="dcterms:W3CDTF">2000-12-07T17:55:00Z</dcterms:modified>
  <cp:revision>19</cp:revision>
  <dc:subject/>
  <dc:title>CONSENT AND ACKNOWLEDGEMENT</dc:title>
</cp:coreProperties>
</file>