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Consent to Assignment</w:t>
      </w:r>
    </w:p>
    <w:p>
      <w:pPr>
        <w:pStyle w:val="Normal"/>
        <w:jc w:val="center"/>
        <w:rPr/>
      </w:pPr>
      <w:r>
        <w:rPr/>
      </w:r>
    </w:p>
    <w:p>
      <w:pPr>
        <w:pStyle w:val="Normal"/>
        <w:jc w:val="center"/>
        <w:rPr/>
      </w:pPr>
      <w:r>
        <w:rPr/>
      </w:r>
    </w:p>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t>This Consent to Assignment is entered into effective July 7, 2000, between Avista Power, LLC, a Washington limited liability company (“Avista”), and General Electric Company, a New York corporation (“GE”).</w:t>
      </w:r>
    </w:p>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1"/>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Recitals</w:t>
      </w:r>
    </w:p>
    <w:p>
      <w:pPr>
        <w:pStyle w:val="Normal"/>
        <w:jc w:val="center"/>
        <w:rPr>
          <w:rFonts w:ascii="Times New Roman" w:hAnsi="Times New Roman" w:eastAsia="Times New Roman" w:cs="Times New Roman"/>
          <w:sz w:val="24"/>
          <w:szCs w:val="24"/>
        </w:rPr>
      </w:pPr>
      <w:r>
        <w:rPr>
          <w:rFonts w:eastAsia="Times New Roman" w:cs="Times New Roman"/>
          <w:sz w:val="24"/>
          <w:szCs w:val="24"/>
        </w:rPr>
      </w:r>
    </w:p>
    <w:p>
      <w:pPr>
        <w:pStyle w:val="Heading2"/>
        <w:numPr>
          <w:ilvl w:val="0"/>
          <w:numId w:val="2"/>
        </w:numPr>
        <w:tabs>
          <w:tab w:val="clear" w:pos="720"/>
          <w:tab w:val="left" w:pos="0" w:leader="none"/>
        </w:tabs>
        <w:ind w:hanging="1440" w:start="1440" w:end="0"/>
        <w:rPr/>
      </w:pPr>
      <w:r>
        <w:rPr/>
        <w:t>Enron North America Corp. (“ENA”) and GE are parties to an Agreement for the Coyote Springs 2 LLC Power Project Gas Turbine Generator Package dated effective as of the 4</w:t>
      </w:r>
      <w:r>
        <w:rPr>
          <w:vertAlign w:val="superscript"/>
        </w:rPr>
        <w:t>th</w:t>
      </w:r>
      <w:r>
        <w:rPr/>
        <w:t xml:space="preserve"> day of May, 1999 (the “Turbine Agreement”).</w:t>
      </w:r>
    </w:p>
    <w:p>
      <w:pPr>
        <w:pStyle w:val="Heading2"/>
        <w:numPr>
          <w:ilvl w:val="0"/>
          <w:numId w:val="2"/>
        </w:numPr>
        <w:tabs>
          <w:tab w:val="clear" w:pos="720"/>
          <w:tab w:val="left" w:pos="0" w:leader="none"/>
        </w:tabs>
        <w:ind w:hanging="1440" w:start="1440" w:end="0"/>
        <w:rPr/>
      </w:pPr>
      <w:r>
        <w:rPr/>
        <w:t>Avista is engaged in the business of developing, owning and operating power generation facilities at various sites.  Avista is considering acquiring and developing the site known as the “Coyote Springs 2” generation project.</w:t>
      </w:r>
    </w:p>
    <w:p>
      <w:pPr>
        <w:pStyle w:val="Heading2"/>
        <w:numPr>
          <w:ilvl w:val="0"/>
          <w:numId w:val="2"/>
        </w:numPr>
        <w:tabs>
          <w:tab w:val="clear" w:pos="720"/>
          <w:tab w:val="left" w:pos="0" w:leader="none"/>
        </w:tabs>
        <w:ind w:hanging="1440" w:start="1440" w:end="0"/>
        <w:rPr/>
      </w:pPr>
      <w:r>
        <w:rPr/>
        <w:t>Article XXII of the Turbine Agreement limits ENA’s right to assign its rights and obligations under the Turbine Agreement.</w:t>
      </w:r>
    </w:p>
    <w:p>
      <w:pPr>
        <w:pStyle w:val="Heading2"/>
        <w:numPr>
          <w:ilvl w:val="0"/>
          <w:numId w:val="2"/>
        </w:numPr>
        <w:tabs>
          <w:tab w:val="clear" w:pos="720"/>
          <w:tab w:val="left" w:pos="0" w:leader="none"/>
        </w:tabs>
        <w:ind w:hanging="1440" w:start="1440" w:end="0"/>
        <w:rPr/>
      </w:pPr>
      <w:r>
        <w:rPr/>
        <w:t xml:space="preserve">ENA desires to assign and transfer the entirety of its rights and obligations in and under the Turbine Agreement to Avista. </w:t>
      </w:r>
    </w:p>
    <w:p>
      <w:pPr>
        <w:pStyle w:val="Heading2"/>
        <w:numPr>
          <w:ilvl w:val="0"/>
          <w:numId w:val="2"/>
        </w:numPr>
        <w:tabs>
          <w:tab w:val="clear" w:pos="720"/>
          <w:tab w:val="left" w:pos="0" w:leader="none"/>
        </w:tabs>
        <w:ind w:hanging="720" w:start="1440" w:end="0"/>
        <w:rPr/>
      </w:pPr>
      <w:r>
        <w:rPr/>
        <w:t>ENA has requested GE to consent to ENA’s assignment of its rights and obligations under the Turbine Agreement to Avista on the terms and conditions set forth below.</w:t>
      </w:r>
    </w:p>
    <w:p>
      <w:pPr>
        <w:pStyle w:val="Header"/>
        <w:widowControl/>
        <w:tabs>
          <w:tab w:val="clear" w:pos="4320"/>
          <w:tab w:val="clear" w:pos="8640"/>
        </w:tabs>
        <w:rPr>
          <w:rFonts w:ascii="Times New Roman" w:hAnsi="Times New Roman" w:eastAsia="Times New Roman" w:cs="Times New Roman"/>
        </w:rPr>
      </w:pPr>
      <w:r>
        <w:rPr>
          <w:rFonts w:eastAsia="Times New Roman" w:cs="Times New Roman" w:ascii="Times New Roman" w:hAnsi="Times New Roman"/>
        </w:rPr>
      </w:r>
    </w:p>
    <w:p>
      <w:pPr>
        <w:pStyle w:val="Heading1"/>
        <w:widowControl/>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Agreement</w:t>
      </w:r>
    </w:p>
    <w:p>
      <w:pPr>
        <w:pStyle w:val="Normal"/>
        <w:jc w:val="center"/>
        <w:rPr>
          <w:rFonts w:ascii="Times New Roman" w:hAnsi="Times New Roman" w:eastAsia="Times New Roman" w:cs="Times New Roman"/>
          <w:sz w:val="24"/>
          <w:szCs w:val="24"/>
        </w:rPr>
      </w:pPr>
      <w:r>
        <w:rPr>
          <w:rFonts w:eastAsia="Times New Roman" w:cs="Times New Roman"/>
          <w:sz w:val="24"/>
          <w:szCs w:val="24"/>
        </w:rPr>
      </w:r>
    </w:p>
    <w:p>
      <w:pPr>
        <w:pStyle w:val="BodyText"/>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t>In consideration of the mutual covenants contained in this consent, and intending to be legally bound, the parties hereto agree as follows:</w:t>
      </w:r>
    </w:p>
    <w:p>
      <w:pPr>
        <w:pStyle w:val="Normal"/>
        <w:rPr>
          <w:rFonts w:ascii="Times New Roman" w:hAnsi="Times New Roman" w:eastAsia="Times New Roman" w:cs="Times New Roman"/>
          <w:sz w:val="24"/>
          <w:szCs w:val="24"/>
        </w:rPr>
      </w:pPr>
      <w:r>
        <w:rPr>
          <w:rFonts w:eastAsia="Times New Roman" w:cs="Times New Roman"/>
          <w:sz w:val="24"/>
          <w:szCs w:val="24"/>
        </w:rPr>
      </w:r>
    </w:p>
    <w:p>
      <w:pPr>
        <w:pStyle w:val="Normal"/>
        <w:numPr>
          <w:ilvl w:val="0"/>
          <w:numId w:val="3"/>
        </w:numPr>
        <w:tabs>
          <w:tab w:val="clear" w:pos="720"/>
          <w:tab w:val="left" w:pos="0" w:leader="none"/>
        </w:tabs>
        <w:ind w:hanging="720" w:start="1440" w:end="0"/>
        <w:rPr>
          <w:sz w:val="24"/>
          <w:szCs w:val="24"/>
        </w:rPr>
      </w:pPr>
      <w:r>
        <w:rPr>
          <w:sz w:val="24"/>
          <w:szCs w:val="24"/>
        </w:rPr>
        <w:t>GE consents to ENA’s assignment of the entirety of ENA’s rights and obligations in and under the Turbine Agreement to Avista.  This consent is conditioned upon the following matters:</w:t>
      </w:r>
    </w:p>
    <w:p>
      <w:pPr>
        <w:pStyle w:val="Normal"/>
        <w:rPr>
          <w:sz w:val="24"/>
          <w:szCs w:val="24"/>
        </w:rPr>
      </w:pPr>
      <w:r>
        <w:rPr>
          <w:sz w:val="24"/>
          <w:szCs w:val="24"/>
        </w:rPr>
      </w:r>
    </w:p>
    <w:p>
      <w:pPr>
        <w:pStyle w:val="Normal"/>
        <w:numPr>
          <w:ilvl w:val="0"/>
          <w:numId w:val="4"/>
        </w:numPr>
        <w:tabs>
          <w:tab w:val="clear" w:pos="720"/>
          <w:tab w:val="left" w:pos="0" w:leader="none"/>
        </w:tabs>
        <w:ind w:hanging="2160" w:start="2880" w:end="0"/>
        <w:rPr>
          <w:sz w:val="24"/>
          <w:szCs w:val="24"/>
        </w:rPr>
      </w:pPr>
      <w:r>
        <w:rPr>
          <w:sz w:val="24"/>
          <w:szCs w:val="24"/>
        </w:rPr>
        <w:t>In constructing a generation facility utilizing the Equipment (as defined in the Turbine Agreement) Avista shall assign its rights under the Turbine Agreement to the contractor retained by Avista (or its permitted assigns) or its Affiliates to construct the generation facility.</w:t>
      </w:r>
    </w:p>
    <w:p>
      <w:pPr>
        <w:pStyle w:val="Normal"/>
        <w:numPr>
          <w:ilvl w:val="0"/>
          <w:numId w:val="4"/>
        </w:numPr>
        <w:tabs>
          <w:tab w:val="clear" w:pos="720"/>
          <w:tab w:val="left" w:pos="0" w:leader="none"/>
        </w:tabs>
        <w:ind w:hanging="2160" w:start="2880" w:end="0"/>
        <w:rPr>
          <w:sz w:val="24"/>
          <w:szCs w:val="24"/>
        </w:rPr>
      </w:pPr>
      <w:r>
        <w:rPr>
          <w:sz w:val="24"/>
          <w:szCs w:val="24"/>
        </w:rPr>
        <w:t>Any such assignment by Avista or Avista’s permitted assigns of Avista’s rights and obligations in and under the Turbine Agreement to the contractor retained by Avista (or its permitted assigns) or its Affiliates to construct a facility using the Equipment shall be void unless GE first shall have approved the identity of such contractor in its sole discretion.</w:t>
      </w:r>
    </w:p>
    <w:p>
      <w:pPr>
        <w:pStyle w:val="Normal"/>
        <w:numPr>
          <w:ilvl w:val="0"/>
          <w:numId w:val="4"/>
        </w:numPr>
        <w:tabs>
          <w:tab w:val="clear" w:pos="720"/>
          <w:tab w:val="left" w:pos="0" w:leader="none"/>
        </w:tabs>
        <w:ind w:hanging="2160" w:start="2880" w:end="0"/>
        <w:rPr>
          <w:sz w:val="24"/>
          <w:szCs w:val="24"/>
        </w:rPr>
      </w:pPr>
      <w:r>
        <w:rPr>
          <w:sz w:val="24"/>
          <w:szCs w:val="24"/>
        </w:rPr>
        <w:t xml:space="preserve">Avista shall at the time of the assignment from ENA have a credit rating by Standard &amp; Poors of BBB+  or better (or equivalent rating by a recognized rating agency), or shall no later than 21 days following the effective date of ENA’s assignment to Avista pursuant to this consent provide to GE one or more guaranties, letters of credit or other assurances of payment or performance of Avista’s obligations under the Turbine Agreement issued by an entity or purchaser with such a credit rating.  </w:t>
      </w:r>
    </w:p>
    <w:p>
      <w:pPr>
        <w:pStyle w:val="Normal"/>
        <w:numPr>
          <w:ilvl w:val="0"/>
          <w:numId w:val="4"/>
        </w:numPr>
        <w:tabs>
          <w:tab w:val="clear" w:pos="720"/>
          <w:tab w:val="left" w:pos="0" w:leader="none"/>
        </w:tabs>
        <w:ind w:hanging="1440" w:start="2880" w:end="0"/>
        <w:rPr>
          <w:sz w:val="24"/>
          <w:szCs w:val="24"/>
        </w:rPr>
      </w:pPr>
      <w:r>
        <w:rPr>
          <w:sz w:val="24"/>
          <w:szCs w:val="24"/>
        </w:rPr>
        <w:t>Avista shall have executed an assumption of ENA’s liabilities under the Turbine Agreement.</w:t>
      </w:r>
    </w:p>
    <w:p>
      <w:pPr>
        <w:pStyle w:val="Normal"/>
        <w:rPr>
          <w:sz w:val="24"/>
          <w:szCs w:val="24"/>
        </w:rPr>
      </w:pPr>
      <w:r>
        <w:rPr>
          <w:sz w:val="24"/>
          <w:szCs w:val="24"/>
        </w:rPr>
      </w:r>
    </w:p>
    <w:p>
      <w:pPr>
        <w:pStyle w:val="Normal"/>
        <w:numPr>
          <w:ilvl w:val="0"/>
          <w:numId w:val="5"/>
        </w:numPr>
        <w:tabs>
          <w:tab w:val="clear" w:pos="720"/>
          <w:tab w:val="left" w:pos="0" w:leader="none"/>
        </w:tabs>
        <w:ind w:hanging="1440" w:start="1440" w:end="0"/>
        <w:rPr>
          <w:sz w:val="24"/>
          <w:szCs w:val="24"/>
        </w:rPr>
      </w:pPr>
      <w:r>
        <w:rPr>
          <w:sz w:val="24"/>
          <w:szCs w:val="24"/>
        </w:rPr>
        <w:t>GE further consents to any re-assignment of the Turbine Agreement from Avista or its permitted assignees to ENA or its Affiliates should the Avista and ENA desire to make such a transfer at any time and to accept performance of the obligations under the Turbine Agreement from such Affiliates or permitted assignees.</w:t>
      </w:r>
    </w:p>
    <w:p>
      <w:pPr>
        <w:pStyle w:val="Normal"/>
        <w:numPr>
          <w:ilvl w:val="0"/>
          <w:numId w:val="0"/>
        </w:numPr>
        <w:ind w:hanging="0" w:start="0"/>
        <w:rPr>
          <w:sz w:val="24"/>
          <w:szCs w:val="24"/>
        </w:rPr>
      </w:pPr>
      <w:r>
        <w:rPr>
          <w:sz w:val="24"/>
          <w:szCs w:val="24"/>
        </w:rPr>
      </w:r>
    </w:p>
    <w:p>
      <w:pPr>
        <w:pStyle w:val="Normal"/>
        <w:numPr>
          <w:ilvl w:val="0"/>
          <w:numId w:val="5"/>
        </w:numPr>
        <w:tabs>
          <w:tab w:val="clear" w:pos="720"/>
          <w:tab w:val="left" w:pos="0" w:leader="none"/>
        </w:tabs>
        <w:ind w:hanging="1440" w:start="1440" w:end="0"/>
        <w:rPr>
          <w:sz w:val="24"/>
          <w:szCs w:val="24"/>
        </w:rPr>
      </w:pPr>
      <w:r>
        <w:rPr>
          <w:sz w:val="24"/>
          <w:szCs w:val="24"/>
        </w:rPr>
        <w:t>As of the effective date of this Consent GE confirms that there is no breach by ENA of ENA’s obligations under the Turbine Agreement.</w:t>
      </w:r>
    </w:p>
    <w:p>
      <w:pPr>
        <w:pStyle w:val="Normal"/>
        <w:numPr>
          <w:ilvl w:val="0"/>
          <w:numId w:val="0"/>
        </w:numPr>
        <w:ind w:hanging="0" w:start="0"/>
        <w:rPr>
          <w:sz w:val="24"/>
          <w:szCs w:val="24"/>
        </w:rPr>
      </w:pPr>
      <w:r>
        <w:rPr>
          <w:sz w:val="24"/>
          <w:szCs w:val="24"/>
        </w:rPr>
      </w:r>
    </w:p>
    <w:p>
      <w:pPr>
        <w:pStyle w:val="Normal"/>
        <w:numPr>
          <w:ilvl w:val="0"/>
          <w:numId w:val="5"/>
        </w:numPr>
        <w:tabs>
          <w:tab w:val="clear" w:pos="720"/>
          <w:tab w:val="left" w:pos="0" w:leader="none"/>
        </w:tabs>
        <w:ind w:hanging="1440" w:start="1440" w:end="0"/>
        <w:rPr/>
      </w:pPr>
      <w:r>
        <w:rPr>
          <w:sz w:val="24"/>
          <w:szCs w:val="24"/>
        </w:rPr>
        <w:t xml:space="preserve">Following the assignment from ENA to Avista contemplated by this Consent Avista and GE shall negotiate (or procure that one of their respective affiliated companies will negotiate) in good faith for a Long Term Service Agreement with respect to the turbine to be delivered under the Turbine Agreement; </w:t>
      </w:r>
      <w:r>
        <w:rPr>
          <w:sz w:val="24"/>
          <w:szCs w:val="24"/>
          <w:u w:val="single"/>
        </w:rPr>
        <w:t>provided</w:t>
      </w:r>
      <w:r>
        <w:rPr>
          <w:sz w:val="24"/>
          <w:szCs w:val="24"/>
        </w:rPr>
        <w:t>, that neither party shall be obligated to enter into such agreement unless it is acceptable to each party in its own discretion.</w:t>
      </w:r>
    </w:p>
    <w:p>
      <w:pPr>
        <w:pStyle w:val="Normal"/>
        <w:numPr>
          <w:ilvl w:val="0"/>
          <w:numId w:val="0"/>
        </w:numPr>
        <w:ind w:hanging="0" w:start="0"/>
        <w:rPr>
          <w:sz w:val="24"/>
          <w:szCs w:val="24"/>
        </w:rPr>
      </w:pPr>
      <w:r>
        <w:rPr>
          <w:sz w:val="24"/>
          <w:szCs w:val="24"/>
        </w:rPr>
      </w:r>
    </w:p>
    <w:p>
      <w:pPr>
        <w:pStyle w:val="Normal"/>
        <w:numPr>
          <w:ilvl w:val="0"/>
          <w:numId w:val="5"/>
        </w:numPr>
        <w:tabs>
          <w:tab w:val="clear" w:pos="720"/>
          <w:tab w:val="left" w:pos="0" w:leader="none"/>
        </w:tabs>
        <w:ind w:hanging="1440" w:start="1440" w:end="0"/>
        <w:rPr>
          <w:sz w:val="24"/>
          <w:szCs w:val="24"/>
        </w:rPr>
      </w:pPr>
      <w:r>
        <w:rPr>
          <w:sz w:val="24"/>
          <w:szCs w:val="24"/>
        </w:rPr>
        <w:t>No oral or written modification of this Consent either before or after its execution shall be of any force or effect unless such modification is in writing and signed by the party to be bound thereby.</w:t>
      </w:r>
    </w:p>
    <w:p>
      <w:pPr>
        <w:pStyle w:val="Normal"/>
        <w:numPr>
          <w:ilvl w:val="0"/>
          <w:numId w:val="0"/>
        </w:numPr>
        <w:ind w:hanging="0" w:start="0"/>
        <w:rPr>
          <w:sz w:val="24"/>
          <w:szCs w:val="24"/>
        </w:rPr>
      </w:pPr>
      <w:r>
        <w:rPr>
          <w:sz w:val="24"/>
          <w:szCs w:val="24"/>
        </w:rPr>
      </w:r>
    </w:p>
    <w:p>
      <w:pPr>
        <w:pStyle w:val="Normal"/>
        <w:numPr>
          <w:ilvl w:val="0"/>
          <w:numId w:val="5"/>
        </w:numPr>
        <w:tabs>
          <w:tab w:val="clear" w:pos="720"/>
          <w:tab w:val="left" w:pos="0" w:leader="none"/>
        </w:tabs>
        <w:ind w:hanging="1440" w:start="1440" w:end="0"/>
        <w:rPr>
          <w:sz w:val="24"/>
          <w:szCs w:val="24"/>
        </w:rPr>
      </w:pPr>
      <w:r>
        <w:rPr>
          <w:sz w:val="24"/>
          <w:szCs w:val="24"/>
        </w:rPr>
        <w:t>The waiver by any party of any breach or failure to enforce any of the terms, covenants or conditions of this Consent shall not in any way affect, limit, modify or waive the future enforcement of such terms, covenants or conditions.</w:t>
      </w:r>
    </w:p>
    <w:p>
      <w:pPr>
        <w:pStyle w:val="Normal"/>
        <w:numPr>
          <w:ilvl w:val="0"/>
          <w:numId w:val="0"/>
        </w:numPr>
        <w:ind w:hanging="0" w:start="0"/>
        <w:rPr>
          <w:sz w:val="24"/>
          <w:szCs w:val="24"/>
        </w:rPr>
      </w:pPr>
      <w:r>
        <w:rPr>
          <w:sz w:val="24"/>
          <w:szCs w:val="24"/>
        </w:rPr>
      </w:r>
    </w:p>
    <w:p>
      <w:pPr>
        <w:pStyle w:val="Normal"/>
        <w:numPr>
          <w:ilvl w:val="0"/>
          <w:numId w:val="5"/>
        </w:numPr>
        <w:tabs>
          <w:tab w:val="clear" w:pos="720"/>
          <w:tab w:val="left" w:pos="0" w:leader="none"/>
        </w:tabs>
        <w:ind w:hanging="1440" w:start="1440" w:end="0"/>
        <w:rPr>
          <w:sz w:val="24"/>
          <w:szCs w:val="24"/>
        </w:rPr>
      </w:pPr>
      <w:r>
        <w:rPr>
          <w:sz w:val="24"/>
          <w:szCs w:val="24"/>
        </w:rPr>
        <w:t>The provisions of this Consent are intended for the sole benefit of the parties hereto, and there are no third-party beneficiaries other than assignees contemplated by the terms herein.</w:t>
      </w:r>
    </w:p>
    <w:p>
      <w:pPr>
        <w:pStyle w:val="Normal"/>
        <w:numPr>
          <w:ilvl w:val="0"/>
          <w:numId w:val="0"/>
        </w:numPr>
        <w:ind w:hanging="0" w:start="0"/>
        <w:rPr>
          <w:sz w:val="24"/>
          <w:szCs w:val="24"/>
        </w:rPr>
      </w:pPr>
      <w:r>
        <w:rPr>
          <w:sz w:val="24"/>
          <w:szCs w:val="24"/>
        </w:rPr>
      </w:r>
    </w:p>
    <w:p>
      <w:pPr>
        <w:pStyle w:val="Normal"/>
        <w:keepNext w:val="true"/>
        <w:numPr>
          <w:ilvl w:val="0"/>
          <w:numId w:val="5"/>
        </w:numPr>
        <w:tabs>
          <w:tab w:val="clear" w:pos="720"/>
          <w:tab w:val="left" w:pos="0" w:leader="none"/>
        </w:tabs>
        <w:ind w:hanging="720" w:start="1440" w:end="0"/>
        <w:rPr>
          <w:sz w:val="24"/>
          <w:szCs w:val="24"/>
        </w:rPr>
      </w:pPr>
      <w:r>
        <w:rPr>
          <w:sz w:val="24"/>
          <w:szCs w:val="24"/>
        </w:rPr>
        <w:t>This Consent may be executed in counterparts, each of which when so executed and delivered shall be an original, and all of which, when taken together, shall constitute one and the same instrument.</w:t>
      </w:r>
    </w:p>
    <w:p>
      <w:pPr>
        <w:pStyle w:val="Normal"/>
        <w:keepNext w:val="true"/>
        <w:rPr>
          <w:sz w:val="24"/>
          <w:szCs w:val="24"/>
        </w:rPr>
      </w:pPr>
      <w:r>
        <w:rPr>
          <w:sz w:val="24"/>
          <w:szCs w:val="24"/>
        </w:rPr>
      </w:r>
    </w:p>
    <w:p>
      <w:pPr>
        <w:pStyle w:val="Normal"/>
        <w:keepNext w:val="true"/>
        <w:rPr/>
      </w:pPr>
      <w:r>
        <w:rPr>
          <w:b/>
          <w:bCs/>
          <w:sz w:val="24"/>
          <w:szCs w:val="24"/>
        </w:rPr>
        <w:t>IN WITNESS WHEREOF</w:t>
      </w:r>
      <w:r>
        <w:rPr>
          <w:sz w:val="24"/>
          <w:szCs w:val="24"/>
        </w:rPr>
        <w:t>, the parties have caused this Consent to be executed as of the date and the year first above written.</w:t>
      </w:r>
    </w:p>
    <w:p>
      <w:pPr>
        <w:pStyle w:val="Normal"/>
        <w:keepNext w:val="true"/>
        <w:rPr>
          <w:sz w:val="24"/>
          <w:szCs w:val="24"/>
        </w:rPr>
      </w:pPr>
      <w:r>
        <w:rPr>
          <w:sz w:val="24"/>
          <w:szCs w:val="24"/>
        </w:rPr>
      </w:r>
    </w:p>
    <w:p>
      <w:pPr>
        <w:pStyle w:val="Normal"/>
        <w:keepNext w:val="true"/>
        <w:rPr>
          <w:sz w:val="24"/>
          <w:szCs w:val="24"/>
        </w:rPr>
      </w:pPr>
      <w:r>
        <w:rPr>
          <w:sz w:val="24"/>
          <w:szCs w:val="24"/>
        </w:rPr>
        <w:t>Avista Power, LLC</w:t>
        <w:tab/>
        <w:tab/>
        <w:tab/>
        <w:tab/>
        <w:tab/>
        <w:t>General Electric Company</w:t>
      </w:r>
    </w:p>
    <w:p>
      <w:pPr>
        <w:pStyle w:val="Normal"/>
        <w:keepNext w:val="true"/>
        <w:rPr>
          <w:sz w:val="24"/>
          <w:szCs w:val="24"/>
        </w:rPr>
      </w:pPr>
      <w:r>
        <w:rPr>
          <w:sz w:val="24"/>
          <w:szCs w:val="24"/>
        </w:rPr>
      </w:r>
    </w:p>
    <w:p>
      <w:pPr>
        <w:pStyle w:val="Normal"/>
        <w:keepNext w:val="true"/>
        <w:rPr>
          <w:sz w:val="24"/>
          <w:szCs w:val="24"/>
        </w:rPr>
      </w:pPr>
      <w:r>
        <w:rPr>
          <w:sz w:val="24"/>
          <w:szCs w:val="24"/>
        </w:rPr>
      </w:r>
    </w:p>
    <w:p>
      <w:pPr>
        <w:pStyle w:val="Normal"/>
        <w:keepNext w:val="true"/>
        <w:rPr>
          <w:sz w:val="24"/>
          <w:szCs w:val="24"/>
        </w:rPr>
      </w:pPr>
      <w:r>
        <w:rPr>
          <w:sz w:val="24"/>
          <w:szCs w:val="24"/>
        </w:rPr>
        <w:t>By:</w:t>
      </w:r>
      <w:r>
        <w:rPr>
          <w:sz w:val="24"/>
          <w:szCs w:val="24"/>
          <w:u w:val="single"/>
        </w:rPr>
        <w:tab/>
        <w:tab/>
        <w:tab/>
        <w:tab/>
        <w:tab/>
      </w:r>
      <w:r>
        <w:rPr>
          <w:sz w:val="24"/>
          <w:szCs w:val="24"/>
        </w:rPr>
        <w:tab/>
        <w:tab/>
        <w:t>By:</w:t>
      </w:r>
      <w:r>
        <w:rPr>
          <w:sz w:val="24"/>
          <w:szCs w:val="24"/>
          <w:u w:val="single"/>
        </w:rPr>
        <w:tab/>
        <w:tab/>
        <w:tab/>
        <w:tab/>
        <w:tab/>
      </w:r>
    </w:p>
    <w:p>
      <w:pPr>
        <w:pStyle w:val="Normal"/>
        <w:keepNext w:val="true"/>
        <w:rPr>
          <w:sz w:val="24"/>
          <w:szCs w:val="24"/>
        </w:rPr>
      </w:pPr>
      <w:r>
        <w:rPr>
          <w:sz w:val="24"/>
          <w:szCs w:val="24"/>
        </w:rPr>
        <w:t>Name:</w:t>
        <w:tab/>
        <w:tab/>
        <w:tab/>
        <w:tab/>
        <w:tab/>
        <w:tab/>
        <w:tab/>
        <w:t>Name:</w:t>
        <w:tab/>
      </w:r>
    </w:p>
    <w:p>
      <w:pPr>
        <w:pStyle w:val="BodyText"/>
        <w:rPr>
          <w:sz w:val="24"/>
          <w:szCs w:val="24"/>
        </w:rPr>
      </w:pPr>
      <w:r>
        <w:rPr>
          <w:sz w:val="24"/>
          <w:szCs w:val="24"/>
        </w:rPr>
        <w:t>Title:</w:t>
        <w:tab/>
        <w:tab/>
        <w:tab/>
        <w:tab/>
        <w:tab/>
        <w:tab/>
        <w:tab/>
        <w:t xml:space="preserve">Title: </w:t>
      </w:r>
    </w:p>
    <w:p>
      <w:pPr>
        <w:pStyle w:val="Normal"/>
        <w:rPr>
          <w:sz w:val="24"/>
          <w:szCs w:val="24"/>
        </w:rPr>
      </w:pPr>
      <w:r>
        <w:rPr>
          <w:sz w:val="24"/>
          <w:szCs w:val="24"/>
        </w:rPr>
      </w:r>
    </w:p>
    <w:sectPr>
      <w:footerReference w:type="default" r:id="rId2"/>
      <w:type w:val="nextPage"/>
      <w:pgSz w:w="12240" w:h="15840"/>
      <w:pgMar w:left="1080" w:right="1080" w:gutter="0" w:header="0" w:top="1440" w:footer="1440" w:bottom="14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Univers">
    <w:charset w:val="01"/>
    <w:family w:val="swiss"/>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eastAsia="Univers" w:cs="Univers"/>
        <w:sz w:val="17"/>
        <w:szCs w:val="17"/>
      </w:rPr>
    </w:pPr>
    <w:r>
      <w:rPr>
        <w:rFonts w:eastAsia="Univers" w:cs="Univers" w:ascii="Univers" w:hAnsi="Univers"/>
        <w:sz w:val="17"/>
        <w:szCs w:val="17"/>
      </w:rPr>
      <w:t>Contract CS-2-99 Rev.6</w:t>
    </w:r>
  </w:p>
  <w:p>
    <w:pPr>
      <w:pStyle w:val="Normal"/>
      <w:ind w:end="-90"/>
      <w:jc w:val="both"/>
      <w:rPr>
        <w:rFonts w:ascii="Univers" w:hAnsi="Univers" w:eastAsia="Univers" w:cs="Univers"/>
        <w:sz w:val="17"/>
        <w:szCs w:val="17"/>
      </w:rPr>
    </w:pPr>
    <w:r>
      <w:rPr>
        <w:rFonts w:eastAsia="Univers" w:cs="Univers" w:ascii="Univers" w:hAnsi="Univers"/>
        <w:sz w:val="17"/>
        <w:szCs w:val="17"/>
      </w:rPr>
      <w:t>CHANGE ORDER 1 (Rev-0), June 7, 2000</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eastAsia="Univers" w:cs="Univers"/>
                              <w:sz w:val="22"/>
                              <w:szCs w:val="22"/>
                            </w:rPr>
                          </w:pPr>
                          <w:r>
                            <w:rPr>
                              <w:rFonts w:eastAsia="Univers" w:cs="Univers" w:ascii="Univers" w:hAnsi="Univers"/>
                              <w:sz w:val="22"/>
                              <w:szCs w:val="22"/>
                            </w:rPr>
                            <w:fldChar w:fldCharType="begin"/>
                          </w:r>
                          <w:r>
                            <w:rPr>
                              <w:sz w:val="22"/>
                              <w:szCs w:val="22"/>
                              <w:rFonts w:eastAsia="Univers" w:cs="Univers" w:ascii="Univers" w:hAnsi="Univers"/>
                            </w:rPr>
                            <w:instrText xml:space="preserve"> PAGE </w:instrText>
                          </w:r>
                          <w:r>
                            <w:rPr>
                              <w:sz w:val="22"/>
                              <w:szCs w:val="22"/>
                              <w:rFonts w:eastAsia="Univers" w:cs="Univers" w:ascii="Univers" w:hAnsi="Univers"/>
                            </w:rPr>
                            <w:fldChar w:fldCharType="separate"/>
                          </w:r>
                          <w:r>
                            <w:rPr>
                              <w:sz w:val="22"/>
                              <w:szCs w:val="22"/>
                              <w:rFonts w:eastAsia="Univers" w:cs="Univers" w:ascii="Univers" w:hAnsi="Univers"/>
                            </w:rPr>
                            <w:t>2</w:t>
                          </w:r>
                          <w:r>
                            <w:rPr>
                              <w:sz w:val="22"/>
                              <w:szCs w:val="22"/>
                              <w:rFonts w:eastAsia="Univer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eastAsia="Univers" w:cs="Univers"/>
                        <w:sz w:val="22"/>
                        <w:szCs w:val="22"/>
                      </w:rPr>
                    </w:pPr>
                    <w:r>
                      <w:rPr>
                        <w:rFonts w:eastAsia="Univers" w:cs="Univers" w:ascii="Univers" w:hAnsi="Univers"/>
                        <w:sz w:val="22"/>
                        <w:szCs w:val="22"/>
                      </w:rPr>
                      <w:fldChar w:fldCharType="begin"/>
                    </w:r>
                    <w:r>
                      <w:rPr>
                        <w:sz w:val="22"/>
                        <w:szCs w:val="22"/>
                        <w:rFonts w:eastAsia="Univers" w:cs="Univers" w:ascii="Univers" w:hAnsi="Univers"/>
                      </w:rPr>
                      <w:instrText xml:space="preserve"> PAGE </w:instrText>
                    </w:r>
                    <w:r>
                      <w:rPr>
                        <w:sz w:val="22"/>
                        <w:szCs w:val="22"/>
                        <w:rFonts w:eastAsia="Univers" w:cs="Univers" w:ascii="Univers" w:hAnsi="Univers"/>
                      </w:rPr>
                      <w:fldChar w:fldCharType="separate"/>
                    </w:r>
                    <w:r>
                      <w:rPr>
                        <w:sz w:val="22"/>
                        <w:szCs w:val="22"/>
                        <w:rFonts w:eastAsia="Univers" w:cs="Univers" w:ascii="Univers" w:hAnsi="Univers"/>
                      </w:rPr>
                      <w:t>2</w:t>
                    </w:r>
                    <w:r>
                      <w:rPr>
                        <w:sz w:val="22"/>
                        <w:szCs w:val="22"/>
                        <w:rFonts w:eastAsia="Univers" w:cs="Univers" w:ascii="Univers" w:hAnsi="Univers"/>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center" w:pos="4680" w:leader="none"/>
      </w:tabs>
      <w:jc w:val="center"/>
      <w:outlineLvl w:val="0"/>
    </w:pPr>
    <w:rPr>
      <w:rFonts w:ascii="Univers" w:hAnsi="Univers" w:eastAsia="Univers" w:cs="Univers"/>
      <w:b/>
      <w:bCs/>
      <w:sz w:val="22"/>
      <w:szCs w:val="22"/>
    </w:rPr>
  </w:style>
  <w:style w:type="paragraph" w:styleId="Heading2">
    <w:name w:val="heading 2"/>
    <w:basedOn w:val="Normal"/>
    <w:next w:val="Normal"/>
    <w:qFormat/>
    <w:pPr>
      <w:keepNext w:val="true"/>
      <w:numPr>
        <w:ilvl w:val="1"/>
        <w:numId w:val="1"/>
      </w:numPr>
      <w:outlineLvl w:val="1"/>
    </w:pPr>
    <w:rPr>
      <w:sz w:val="24"/>
      <w:szCs w:val="24"/>
    </w:rPr>
  </w:style>
  <w:style w:type="character" w:styleId="DefaultParagraphFont">
    <w:name w:val="Default Paragraph Font"/>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widowControl w:val="false"/>
      <w:jc w:val="both"/>
    </w:pPr>
    <w:rPr>
      <w:rFonts w:ascii="Univers" w:hAnsi="Univers" w:eastAsia="Univers" w:cs="Univers"/>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w:hAnsi="Courier" w:eastAsia="Courier" w:cs="Courier"/>
      <w:sz w:val="24"/>
      <w:szCs w:val="24"/>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2000-07-07T15:00:00Z</dcterms:created>
  <dc:creator>drasmus</dc:creator>
  <dc:description/>
  <dc:language>en-CA</dc:language>
  <cp:lastModifiedBy>drasmus</cp:lastModifiedBy>
  <cp:lastPrinted>2000-07-07T10:30:00Z</cp:lastPrinted>
  <dcterms:modified xsi:type="dcterms:W3CDTF">2000-07-07T15:00:00Z</dcterms:modified>
  <cp:revision>1</cp:revision>
  <dc:subject/>
  <dc:title>Consent to Assignment</dc:title>
</cp:coreProperties>
</file>