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t>[Letterhead of Enron North America Corp.]</w:t>
      </w:r>
    </w:p>
    <w:p>
      <w:pPr>
        <w:pStyle w:val="Normal"/>
        <w:jc w:val="center"/>
        <w:rPr>
          <w:sz w:val="22"/>
        </w:rPr>
      </w:pPr>
      <w:r>
        <w:rPr>
          <w:sz w:val="22"/>
        </w:rPr>
      </w:r>
    </w:p>
    <w:p>
      <w:pPr>
        <w:pStyle w:val="Normal"/>
        <w:jc w:val="center"/>
        <w:rPr>
          <w:sz w:val="22"/>
        </w:rPr>
      </w:pPr>
      <w:r>
        <w:rPr>
          <w:sz w:val="22"/>
        </w:rPr>
        <w:t>November 1, 2001</w:t>
      </w:r>
    </w:p>
    <w:p>
      <w:pPr>
        <w:pStyle w:val="Normal"/>
        <w:jc w:val="center"/>
        <w:rPr>
          <w:sz w:val="22"/>
        </w:rPr>
      </w:pPr>
      <w:r>
        <w:rPr>
          <w:sz w:val="22"/>
        </w:rPr>
      </w:r>
    </w:p>
    <w:p>
      <w:pPr>
        <w:pStyle w:val="Normal"/>
        <w:rPr>
          <w:sz w:val="22"/>
        </w:rPr>
      </w:pPr>
      <w:r>
        <w:rPr>
          <w:sz w:val="22"/>
        </w:rPr>
      </w:r>
    </w:p>
    <w:p>
      <w:pPr>
        <w:pStyle w:val="Normal"/>
        <w:rPr>
          <w:sz w:val="22"/>
        </w:rPr>
      </w:pPr>
      <w:r>
        <w:rPr>
          <w:sz w:val="22"/>
          <w:u w:val="single"/>
        </w:rPr>
        <w:t>Via Facsimile No. (972) 490-4635</w:t>
      </w:r>
    </w:p>
    <w:p>
      <w:pPr>
        <w:pStyle w:val="Normal"/>
        <w:rPr>
          <w:sz w:val="22"/>
        </w:rPr>
      </w:pPr>
      <w:r>
        <w:rPr>
          <w:sz w:val="22"/>
        </w:rPr>
        <w:t>Mr. Byron Gannaway</w:t>
      </w:r>
    </w:p>
    <w:p>
      <w:pPr>
        <w:pStyle w:val="Normal"/>
        <w:rPr>
          <w:sz w:val="22"/>
        </w:rPr>
      </w:pPr>
      <w:r>
        <w:rPr>
          <w:sz w:val="22"/>
        </w:rPr>
        <w:t>Guadalupe Power Partners, LP</w:t>
      </w:r>
    </w:p>
    <w:p>
      <w:pPr>
        <w:pStyle w:val="Normal"/>
        <w:rPr>
          <w:sz w:val="22"/>
        </w:rPr>
      </w:pPr>
      <w:r>
        <w:rPr>
          <w:sz w:val="22"/>
        </w:rPr>
        <w:t>13760 Noel Road, Suite 930</w:t>
      </w:r>
    </w:p>
    <w:p>
      <w:pPr>
        <w:pStyle w:val="Normal"/>
        <w:rPr>
          <w:sz w:val="22"/>
        </w:rPr>
      </w:pPr>
      <w:r>
        <w:rPr>
          <w:sz w:val="22"/>
        </w:rPr>
        <w:t>Dallas Texas 75240-1300</w:t>
      </w:r>
    </w:p>
    <w:p>
      <w:pPr>
        <w:pStyle w:val="Normal"/>
        <w:rPr>
          <w:sz w:val="22"/>
        </w:rPr>
      </w:pPr>
      <w:r>
        <w:rPr>
          <w:sz w:val="22"/>
        </w:rPr>
      </w:r>
    </w:p>
    <w:p>
      <w:pPr>
        <w:pStyle w:val="Normal"/>
        <w:tabs>
          <w:tab w:val="clear" w:pos="720"/>
          <w:tab w:val="left" w:pos="1440" w:leader="none"/>
        </w:tabs>
        <w:ind w:hanging="1440" w:start="2160" w:end="0"/>
        <w:rPr>
          <w:sz w:val="22"/>
        </w:rPr>
      </w:pPr>
      <w:r>
        <w:rPr>
          <w:sz w:val="22"/>
        </w:rPr>
        <w:t>Re:</w:t>
        <w:tab/>
        <w:t>(1)</w:t>
        <w:tab/>
        <w:t>Base Contract for Short-Term Sale and Purchase of Natural Gas dated as of June 11, 1999 between Columbia Energy Services Corporation (“CES”) and Guadalupe Power Partners, LP (“Guadalupe Power”), as amended by the Amendment to Base Contract for Short-Term Sale and Purchase of Natural Gas, dated as of August 25, 1999, between CES and Guadalupe Power (the “Gas Supply Contract”).</w:t>
      </w:r>
    </w:p>
    <w:p>
      <w:pPr>
        <w:pStyle w:val="Normal"/>
        <w:tabs>
          <w:tab w:val="clear" w:pos="720"/>
          <w:tab w:val="left" w:pos="1440" w:leader="none"/>
        </w:tabs>
        <w:ind w:hanging="1440" w:start="2160" w:end="0"/>
        <w:rPr>
          <w:sz w:val="22"/>
        </w:rPr>
      </w:pPr>
      <w:r>
        <w:rPr>
          <w:sz w:val="22"/>
        </w:rPr>
        <w:tab/>
        <w:t>(2)</w:t>
        <w:tab/>
        <w:t>Assignment and Assumption Agreement entered into as of August 31, 2000 between CES and Enron North America Corp. (“Enron North America”) relating to the assignment of the Gas Supply Contract from CES to Enron North America and the consent of Guadalupe Power thereto.</w:t>
      </w:r>
    </w:p>
    <w:p>
      <w:pPr>
        <w:pStyle w:val="Normal"/>
        <w:rPr>
          <w:sz w:val="22"/>
        </w:rPr>
      </w:pPr>
      <w:r>
        <w:rPr>
          <w:sz w:val="22"/>
        </w:rPr>
      </w:r>
    </w:p>
    <w:p>
      <w:pPr>
        <w:pStyle w:val="Normal"/>
        <w:rPr>
          <w:sz w:val="22"/>
        </w:rPr>
      </w:pPr>
      <w:r>
        <w:rPr>
          <w:sz w:val="22"/>
        </w:rPr>
        <w:t>Dear Mr. Gannaway:</w:t>
      </w:r>
    </w:p>
    <w:p>
      <w:pPr>
        <w:pStyle w:val="Normal"/>
        <w:rPr>
          <w:sz w:val="22"/>
        </w:rPr>
      </w:pPr>
      <w:r>
        <w:rPr>
          <w:sz w:val="22"/>
        </w:rPr>
      </w:r>
    </w:p>
    <w:p>
      <w:pPr>
        <w:pStyle w:val="Normal"/>
        <w:rPr>
          <w:sz w:val="22"/>
        </w:rPr>
      </w:pPr>
      <w:r>
        <w:rPr>
          <w:sz w:val="22"/>
        </w:rPr>
        <w:tab/>
        <w:t>This letter is in furtherance of our conversation earlier today concerning Enron North America’s request that it be allowed to assign the Gas Supply Contract to Houston Pipe Line Company (“HPL”).  Enron North America is a wholly-owned subsidiary of Enron Corp.  As you know, all of the stock of HPL was sold to AEP Energy Services Gas Holding Company (“AEP”) pursuant to a Purchase and Sale Agreement dated December 27, 2000 between Enron Corp. and AEP.</w:t>
      </w:r>
    </w:p>
    <w:p>
      <w:pPr>
        <w:pStyle w:val="Normal"/>
        <w:rPr>
          <w:sz w:val="22"/>
        </w:rPr>
      </w:pPr>
      <w:r>
        <w:rPr>
          <w:sz w:val="22"/>
        </w:rPr>
      </w:r>
    </w:p>
    <w:p>
      <w:pPr>
        <w:pStyle w:val="Normal"/>
        <w:rPr>
          <w:sz w:val="22"/>
        </w:rPr>
      </w:pPr>
      <w:r>
        <w:rPr>
          <w:sz w:val="22"/>
        </w:rPr>
        <w:tab/>
        <w:t>Accordingly, Enron North America hereby requests the consent of Guadalupe Power to allow Enron North America to assign the Gas Supply Contract to HPL to be effective, upon the receipt by Guadalupe Power of an executed guaranty from American Electric Power Company, Inc., the parent company of AEP, in a form reasonably acceptable to Guadalupe Power, as of November 1, 2001.</w:t>
      </w:r>
    </w:p>
    <w:p>
      <w:pPr>
        <w:pStyle w:val="Normal"/>
        <w:rPr>
          <w:sz w:val="22"/>
        </w:rPr>
      </w:pPr>
      <w:r>
        <w:rPr>
          <w:sz w:val="22"/>
        </w:rPr>
      </w:r>
    </w:p>
    <w:p>
      <w:pPr>
        <w:pStyle w:val="Normal"/>
        <w:rPr>
          <w:sz w:val="22"/>
        </w:rPr>
      </w:pPr>
      <w:r>
        <w:rPr>
          <w:sz w:val="22"/>
        </w:rPr>
        <w:tab/>
        <w:t>Please evidence your consent by signing in the space provided and faxing same to Dan Hyvl (Fax No. 713-646-3490).  Should you have any questions regarding the foregoing please contact Janet Wallis at 713-853-5388 or Dan Hyvl at 713-853-6895.</w:t>
      </w:r>
    </w:p>
    <w:p>
      <w:pPr>
        <w:pStyle w:val="Normal"/>
        <w:rPr>
          <w:sz w:val="22"/>
        </w:rPr>
      </w:pPr>
      <w:r>
        <w:rPr>
          <w:sz w:val="22"/>
        </w:rPr>
      </w:r>
    </w:p>
    <w:p>
      <w:pPr>
        <w:pStyle w:val="Normal"/>
        <w:rPr>
          <w:sz w:val="22"/>
        </w:rPr>
      </w:pPr>
      <w:r>
        <w:rPr>
          <w:sz w:val="22"/>
        </w:rPr>
        <w:tab/>
        <w:tab/>
        <w:tab/>
        <w:tab/>
        <w:tab/>
        <w:tab/>
        <w:tab/>
        <w:t>Sincerely yours,</w:t>
      </w:r>
    </w:p>
    <w:p>
      <w:pPr>
        <w:pStyle w:val="Normal"/>
        <w:rPr>
          <w:sz w:val="22"/>
        </w:rPr>
      </w:pPr>
      <w:r>
        <w:rPr>
          <w:sz w:val="22"/>
        </w:rPr>
      </w:r>
    </w:p>
    <w:p>
      <w:pPr>
        <w:pStyle w:val="Normal"/>
        <w:rPr>
          <w:sz w:val="22"/>
        </w:rPr>
      </w:pPr>
      <w:r>
        <w:rPr>
          <w:sz w:val="22"/>
        </w:rPr>
        <w:tab/>
        <w:tab/>
        <w:tab/>
        <w:tab/>
        <w:tab/>
        <w:tab/>
        <w:tab/>
      </w:r>
    </w:p>
    <w:p>
      <w:pPr>
        <w:pStyle w:val="Normal"/>
        <w:rPr>
          <w:sz w:val="22"/>
        </w:rPr>
      </w:pPr>
      <w:r>
        <w:rPr>
          <w:sz w:val="22"/>
        </w:rPr>
      </w:r>
    </w:p>
    <w:p>
      <w:pPr>
        <w:pStyle w:val="Normal"/>
        <w:rPr>
          <w:sz w:val="22"/>
        </w:rPr>
      </w:pPr>
      <w:r>
        <w:rPr>
          <w:sz w:val="22"/>
        </w:rPr>
        <w:t>CONSENTED TO AS OF the</w:t>
      </w:r>
    </w:p>
    <w:p>
      <w:pPr>
        <w:pStyle w:val="Normal"/>
        <w:rPr/>
      </w:pPr>
      <w:r>
        <w:rPr>
          <w:sz w:val="22"/>
        </w:rPr>
        <w:t>1</w:t>
      </w:r>
      <w:r>
        <w:rPr>
          <w:sz w:val="22"/>
          <w:vertAlign w:val="superscript"/>
        </w:rPr>
        <w:t>st</w:t>
      </w:r>
      <w:r>
        <w:rPr>
          <w:sz w:val="22"/>
        </w:rPr>
        <w:t xml:space="preserve"> day of November, 2001.</w:t>
      </w:r>
    </w:p>
    <w:p>
      <w:pPr>
        <w:pStyle w:val="Normal"/>
        <w:rPr>
          <w:sz w:val="22"/>
        </w:rPr>
      </w:pPr>
      <w:r>
        <w:rPr>
          <w:sz w:val="22"/>
        </w:rPr>
      </w:r>
    </w:p>
    <w:p>
      <w:pPr>
        <w:pStyle w:val="Normal"/>
        <w:rPr>
          <w:sz w:val="22"/>
        </w:rPr>
      </w:pPr>
      <w:r>
        <w:rPr>
          <w:sz w:val="22"/>
        </w:rPr>
        <w:t>GUADALUPE POWER PARTNERS, LP</w:t>
      </w:r>
    </w:p>
    <w:p>
      <w:pPr>
        <w:pStyle w:val="Normal"/>
        <w:rPr>
          <w:sz w:val="22"/>
        </w:rPr>
      </w:pPr>
      <w:r>
        <w:rPr>
          <w:sz w:val="22"/>
        </w:rPr>
      </w:r>
    </w:p>
    <w:p>
      <w:pPr>
        <w:pStyle w:val="Normal"/>
        <w:rPr>
          <w:sz w:val="22"/>
        </w:rPr>
      </w:pPr>
      <w:r>
        <w:rPr>
          <w:sz w:val="22"/>
        </w:rPr>
      </w:r>
    </w:p>
    <w:p>
      <w:pPr>
        <w:pStyle w:val="Normal"/>
        <w:rPr>
          <w:sz w:val="22"/>
        </w:rPr>
      </w:pPr>
      <w:r>
        <w:rPr>
          <w:sz w:val="22"/>
        </w:rPr>
        <w:t>By:</w:t>
        <w:tab/>
        <w:t>________________________</w:t>
      </w:r>
    </w:p>
    <w:p>
      <w:pPr>
        <w:pStyle w:val="Normal"/>
        <w:rPr>
          <w:sz w:val="22"/>
        </w:rPr>
      </w:pPr>
      <w:r>
        <w:rPr>
          <w:sz w:val="22"/>
        </w:rPr>
        <w:tab/>
        <w:t>Byron Gannaway</w:t>
      </w:r>
    </w:p>
    <w:p>
      <w:pPr>
        <w:pStyle w:val="Normal"/>
        <w:rPr>
          <w:sz w:val="22"/>
        </w:rPr>
      </w:pPr>
      <w:r>
        <w:rPr>
          <w:sz w:val="22"/>
        </w:rPr>
        <w:tab/>
        <w:t>Vice President</w:t>
      </w:r>
    </w:p>
    <w:sectPr>
      <w:type w:val="nextPage"/>
      <w:pgSz w:w="12240" w:h="15840"/>
      <w:pgMar w:left="1296" w:right="1296" w:gutter="0" w:header="0" w:top="1296" w:footer="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2001-11-30T18:06:00Z</dcterms:created>
  <dc:creator>Norma Kyle</dc:creator>
  <dc:description/>
  <dc:language>en-CA</dc:language>
  <cp:lastModifiedBy>Phil Schnorbach</cp:lastModifiedBy>
  <cp:lastPrinted>2001-11-30T13:10:00Z</cp:lastPrinted>
  <dcterms:modified xsi:type="dcterms:W3CDTF">2001-11-30T18:06:00Z</dcterms:modified>
  <cp:revision>2</cp:revision>
  <dc:subject/>
  <dc:title>[Letterhead of Enron North America Corp</dc:title>
</cp:coreProperties>
</file>