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and Conoco Inc., a ____________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 provided that is such written Confirmation is manifestly inconsistent with the Transaction Tape, the terms of the Transaction Tape will prevail.</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enovate,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Conoco Inc.</w:t>
      </w:r>
      <w:r>
        <w:rPr>
          <w:rFonts w:cs="Arial Narrow" w:ascii="Arial Narrow" w:hAnsi="Arial Narrow"/>
          <w:sz w:val="18"/>
          <w:u w:val="single"/>
        </w:rPr>
        <w:t xml:space="preserve"> </w:t>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O:Legal\sdickson\enovate\ConocoMasterFirm.doc</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agreement date of a Transaction,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  Notwithstanding anything in this Agreement to the contrary, Force Majeure shall include physical events such as storms, storm warning, hurricanes, freezing or other weather related events substantially affecting gas production in an entire geographic region.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with regard to any Transaction (i) any Taxes enacted and effective after the agreement date of the Transaction, including, without limitation, that portion of any Taxes or New Taxes that constitutes an increase, or (ii) any law, order, rule or regulation, or interpretation thereof, enacted and effective after the agreement date of the Transaction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or before the later of the 25th Day of the Month in which Seller's statement was received or 10 Days after receipt of Seller's statement by Buyer.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Chicago, Illinois,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Northern District of Illinois.  The two arbitrators shall select a third arbitrator.  If the two arbitrators chosen by the Parties fail to agree upon the third arbitrator, both or either of the Parties may apply to the senior active United States District Judge for the Northern District of Illinois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jc w:val="both"/>
        <w:rPr>
          <w:rFonts w:ascii="Arial Narrow" w:hAnsi="Arial Narrow" w:cs="Arial Narrow"/>
          <w:sz w:val="18"/>
        </w:rPr>
      </w:pPr>
      <w:r>
        <w:rPr>
          <w:rFonts w:cs="Arial Narrow" w:ascii="Arial Narrow" w:hAnsi="Arial Narrow"/>
          <w:sz w:val="18"/>
        </w:rPr>
        <w:t>Attn:  Richard Tomaski</w:t>
      </w:r>
    </w:p>
    <w:p>
      <w:pPr>
        <w:pStyle w:val="Normal"/>
        <w:jc w:val="both"/>
        <w:rPr>
          <w:rFonts w:ascii="Arial Narrow" w:hAnsi="Arial Narrow" w:cs="Arial Narrow"/>
          <w:sz w:val="18"/>
        </w:rPr>
      </w:pPr>
      <w:r>
        <w:rPr>
          <w:rFonts w:cs="Arial Narrow" w:ascii="Arial Narrow" w:hAnsi="Arial Narrow"/>
          <w:sz w:val="18"/>
        </w:rPr>
        <w:t>Telephone No.  (312) 541-1231</w:t>
      </w:r>
    </w:p>
    <w:p>
      <w:pPr>
        <w:pStyle w:val="Normal"/>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Kevin Radous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Telephone No. (312) 541-1198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t>ABA Routing 021000089 Citibank, N.A.</w:t>
      </w:r>
    </w:p>
    <w:p>
      <w:pPr>
        <w:pStyle w:val="Normal"/>
        <w:jc w:val="both"/>
        <w:rPr>
          <w:rFonts w:ascii="Arial Narrow" w:hAnsi="Arial Narrow" w:cs="Arial Narrow"/>
          <w:sz w:val="18"/>
        </w:rPr>
      </w:pPr>
      <w:r>
        <w:rPr>
          <w:rFonts w:cs="Arial Narrow" w:ascii="Arial Narrow" w:hAnsi="Arial Narrow"/>
          <w:sz w:val="18"/>
        </w:rPr>
        <w:t xml:space="preserve">New York, New York </w:t>
      </w:r>
    </w:p>
    <w:p>
      <w:pPr>
        <w:pStyle w:val="Normal"/>
        <w:jc w:val="both"/>
        <w:rPr>
          <w:rFonts w:ascii="Arial Narrow" w:hAnsi="Arial Narrow" w:cs="Arial Narrow"/>
          <w:sz w:val="18"/>
        </w:rPr>
      </w:pPr>
      <w:r>
        <w:rPr>
          <w:rFonts w:cs="Arial Narrow" w:ascii="Arial Narrow" w:hAnsi="Arial Narrow"/>
          <w:sz w:val="18"/>
        </w:rPr>
        <w:t>Account 3042-6563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/mnt/main-storage/datasets/enron-docs/doc/ConocoMaster_Firm.doc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2001-03-20T17:30:00Z</dcterms:created>
  <dc:creator>jdobern</dc:creator>
  <dc:description/>
  <dc:language>en-CA</dc:language>
  <cp:lastModifiedBy>sdickso</cp:lastModifiedBy>
  <cp:lastPrinted>2001-03-20T15:28:00Z</cp:lastPrinted>
  <dcterms:modified xsi:type="dcterms:W3CDTF">2001-03-20T18:58:00Z</dcterms:modified>
  <cp:revision>5</cp:revision>
  <dc:subject/>
  <dc:title>SAMPLE CONTRACT</dc:title>
</cp:coreProperties>
</file>