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810"/>
        <w:rPr>
          <w:smallCaps/>
          <w:sz w:val="22"/>
        </w:rPr>
      </w:pPr>
      <w:r>
        <w:rPr>
          <w:smallCaps/>
          <w:sz w:val="22"/>
        </w:rPr>
        <w:t>CONNIE NITA LEE</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810"/>
        <w:jc w:val="center"/>
        <w:rPr>
          <w:b w:val="false"/>
          <w:bCs/>
          <w:caps w:val="false"/>
          <w:smallCaps w:val="false"/>
        </w:rPr>
      </w:pPr>
      <w:r>
        <w:rPr>
          <w:b w:val="false"/>
          <w:bCs/>
          <w:caps w:val="false"/>
          <w:smallCaps w:val="false"/>
        </w:rPr>
        <w:t>1601 South Shepherd, Unit No. 46</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10"/>
        <w:jc w:val="center"/>
        <w:rPr>
          <w:b w:val="false"/>
          <w:bCs/>
          <w:caps w:val="false"/>
          <w:smallCaps w:val="false"/>
        </w:rPr>
      </w:pPr>
      <w:r>
        <w:rPr>
          <w:b w:val="false"/>
          <w:bCs/>
          <w:caps w:val="false"/>
          <w:smallCaps w:val="false"/>
        </w:rPr>
        <w:t>Houston, Texas 77019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10"/>
        <w:jc w:val="center"/>
        <w:rPr>
          <w:bCs/>
          <w:smallCaps/>
        </w:rPr>
      </w:pPr>
      <w:r>
        <w:rPr>
          <w:bCs/>
          <w:smallCaps/>
        </w:rPr>
        <w:t>713/942-0674 (H)</w:t>
      </w:r>
    </w:p>
    <w:p>
      <w:pPr>
        <w:pStyle w:val="Heading4"/>
        <w:ind w:hanging="0" w:start="0"/>
        <w:jc w:val="start"/>
        <w:rPr>
          <w:bCs/>
          <w:smallCaps/>
          <w:sz w:val="22"/>
        </w:rPr>
      </w:pPr>
      <w:r>
        <w:rPr>
          <w:bCs/>
          <w:smallCaps/>
          <w:sz w:val="22"/>
        </w:rPr>
      </w:r>
    </w:p>
    <w:p>
      <w:pPr>
        <w:pStyle w:val="Heading4"/>
        <w:ind w:hanging="2160" w:start="2160" w:end="0"/>
        <w:jc w:val="start"/>
        <w:rPr/>
      </w:pPr>
      <w:r>
        <w:rPr/>
        <w:t>EDUCATION</w:t>
        <w:tab/>
        <w:t>University of Texas at Austin</w:t>
      </w:r>
    </w:p>
    <w:p>
      <w:pPr>
        <w:pStyle w:val="Normal"/>
        <w:ind w:start="2160" w:end="0"/>
        <w:rPr/>
      </w:pPr>
      <w:r>
        <w:rPr/>
        <w:t>Bachelor of Business Administration, May 1994</w:t>
      </w:r>
    </w:p>
    <w:p>
      <w:pPr>
        <w:pStyle w:val="Normal"/>
        <w:ind w:start="2160" w:end="0"/>
        <w:rPr/>
      </w:pPr>
      <w:r>
        <w:rPr/>
        <w:t>Master of Professional Accounting, May 1994</w:t>
      </w:r>
    </w:p>
    <w:p>
      <w:pPr>
        <w:pStyle w:val="Normal"/>
        <w:ind w:start="2160" w:end="0"/>
        <w:rPr/>
      </w:pPr>
      <w:r>
        <w:rPr/>
        <w:t>Major:  Accounting     Overall GPA:  3.40/4.00</w:t>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left" w:pos="6220" w:leader="none"/>
          <w:tab w:val="right" w:pos="9936" w:leader="none"/>
        </w:tabs>
        <w:ind w:hanging="0" w:start="0" w:end="-86"/>
        <w:jc w:val="start"/>
        <w:rPr>
          <w:caps/>
          <w:sz w:val="20"/>
        </w:rPr>
      </w:pPr>
      <w:r>
        <w:rPr>
          <w:caps/>
          <w:sz w:val="20"/>
        </w:rPr>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left" w:pos="6220" w:leader="none"/>
          <w:tab w:val="right" w:pos="9990" w:leader="none"/>
        </w:tabs>
        <w:ind w:hanging="1440" w:start="1440" w:end="-86"/>
        <w:jc w:val="start"/>
        <w:rPr/>
      </w:pPr>
      <w:r>
        <w:rPr>
          <w:sz w:val="20"/>
        </w:rPr>
        <w:t>PROFESSIONAL</w:t>
      </w:r>
      <w:r>
        <w:rPr>
          <w:caps/>
          <w:sz w:val="20"/>
        </w:rPr>
        <w:tab/>
      </w:r>
      <w:r>
        <w:rPr>
          <w:sz w:val="20"/>
        </w:rPr>
        <w:t>ENRON BROADBAND SERVICES, INC.</w:t>
        <w:tab/>
        <w:tab/>
        <w:t>Houston, Texas</w:t>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right" w:pos="9990" w:leader="none"/>
        </w:tabs>
        <w:ind w:hanging="1440" w:start="1440" w:end="0"/>
        <w:jc w:val="start"/>
        <w:rPr>
          <w:sz w:val="20"/>
        </w:rPr>
      </w:pPr>
      <w:r>
        <w:rPr>
          <w:sz w:val="20"/>
        </w:rPr>
        <w:t>EXPERIENCE</w:t>
        <w:tab/>
        <w:tab/>
        <w:t xml:space="preserve">Director                                                                        </w:t>
        <w:tab/>
        <w:t>February 2001 to Present</w:t>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right" w:pos="9990" w:leader="none"/>
        </w:tabs>
        <w:ind w:hanging="1440" w:start="1440" w:end="0"/>
        <w:jc w:val="start"/>
        <w:rPr>
          <w:sz w:val="20"/>
        </w:rPr>
      </w:pPr>
      <w:r>
        <w:rPr>
          <w:sz w:val="20"/>
        </w:rPr>
        <w:tab/>
        <w:tab/>
        <w:t xml:space="preserve">Manager                                                           </w:t>
        <w:tab/>
        <w:t>February 2000 to February 2001</w:t>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right" w:pos="9936" w:leader="none"/>
        </w:tabs>
        <w:ind w:hanging="1440" w:start="1440" w:end="0"/>
        <w:jc w:val="start"/>
        <w:rPr>
          <w:sz w:val="20"/>
        </w:rPr>
      </w:pPr>
      <w:r>
        <w:rPr>
          <w:sz w:val="20"/>
        </w:rPr>
      </w:r>
    </w:p>
    <w:p>
      <w:pPr>
        <w:pStyle w:val="BodyText"/>
        <w:tabs>
          <w:tab w:val="clear" w:pos="1440"/>
        </w:tabs>
        <w:ind w:start="2160" w:end="0"/>
        <w:rPr/>
      </w:pPr>
      <w:r>
        <w:rPr/>
        <w:t xml:space="preserve">Principal responsibilities involve providing accounting and structuring support with respect to the purchase and sale of assets and related products and services offered by Enron Broadband Services and managing financial due diligence efforts relating to investments in early and development stage companies.  Specific responsibilities include determining accounting implications of complex structures with respect to monetization transactions, hedging vehicles, and off-balance sheet entities, recommending contract structure for the sale and barter of products and services, and assisting in establishing accounting policies and procedures.  Additional experience includes analyzing financial statements and interviewing management of development stage companies to assess risks of equity participation, evaluating transactions with respect to the commoditization of products and services for applicability of mark-to-market accounting, and assisting in the structuring efforts of transactions to optimize accounting treatment.  </w:t>
      </w:r>
    </w:p>
    <w:p>
      <w:pPr>
        <w:pStyle w:val="BodyText"/>
        <w:tabs>
          <w:tab w:val="clear" w:pos="1440"/>
        </w:tabs>
        <w:jc w:val="start"/>
        <w:rPr/>
      </w:pPr>
      <w:r>
        <w:rPr/>
        <w:t xml:space="preserve">    </w:t>
      </w:r>
    </w:p>
    <w:p>
      <w:pPr>
        <w:pStyle w:val="Heading2"/>
        <w:tabs>
          <w:tab w:val="clear" w:pos="1800"/>
          <w:tab w:val="left" w:pos="1440" w:leader="none"/>
          <w:tab w:val="left" w:pos="2160" w:leader="none"/>
          <w:tab w:val="left" w:pos="2880" w:leader="none"/>
          <w:tab w:val="left" w:pos="3600" w:leader="none"/>
          <w:tab w:val="left" w:pos="4320" w:leader="none"/>
          <w:tab w:val="left" w:pos="5040" w:leader="none"/>
          <w:tab w:val="right" w:pos="9990" w:leader="none"/>
        </w:tabs>
        <w:ind w:hanging="1440" w:start="1440" w:end="0"/>
        <w:jc w:val="start"/>
        <w:rPr>
          <w:sz w:val="20"/>
        </w:rPr>
      </w:pPr>
      <w:r>
        <w:rPr>
          <w:sz w:val="20"/>
        </w:rPr>
        <w:tab/>
        <w:tab/>
        <w:t xml:space="preserve">ENRON INTERNATIONAL, INC. </w:t>
        <w:tab/>
        <w:t>Houston, Texas</w:t>
      </w:r>
    </w:p>
    <w:p>
      <w:pPr>
        <w:pStyle w:val="Heading3"/>
        <w:tabs>
          <w:tab w:val="clear" w:pos="720"/>
          <w:tab w:val="left" w:pos="1440" w:leader="none"/>
          <w:tab w:val="left" w:pos="2160" w:leader="none"/>
          <w:tab w:val="left" w:pos="2880" w:leader="none"/>
          <w:tab w:val="right" w:pos="9990" w:leader="none"/>
        </w:tabs>
        <w:ind w:hanging="0" w:start="0"/>
        <w:rPr/>
      </w:pPr>
      <w:r>
        <w:rPr/>
        <w:tab/>
        <w:tab/>
        <w:t>Senior Specialist</w:t>
        <w:tab/>
        <w:t>May 1999 to February 2000</w:t>
      </w:r>
    </w:p>
    <w:p>
      <w:pPr>
        <w:pStyle w:val="Normal"/>
        <w:tabs>
          <w:tab w:val="clear" w:pos="720"/>
          <w:tab w:val="left" w:pos="1440" w:leader="none"/>
          <w:tab w:val="left" w:pos="2160" w:leader="none"/>
          <w:tab w:val="left" w:pos="2880" w:leader="none"/>
          <w:tab w:val="right" w:pos="9936" w:leader="none"/>
        </w:tabs>
        <w:rPr>
          <w:b/>
        </w:rPr>
      </w:pPr>
      <w:r>
        <w:rPr>
          <w:b/>
        </w:rPr>
      </w:r>
    </w:p>
    <w:p>
      <w:pPr>
        <w:pStyle w:val="BodyTextIndent"/>
        <w:tabs>
          <w:tab w:val="clear" w:pos="720"/>
          <w:tab w:val="left" w:pos="1980" w:leader="none"/>
        </w:tabs>
        <w:ind w:hanging="180" w:start="2160" w:end="0"/>
        <w:rPr/>
      </w:pPr>
      <w:r>
        <w:rPr/>
        <w:tab/>
        <w:t>Primary responsibilities included management of all aspects of the accounting functions relating to international merger and acquisition of target companies and privatization of strategic assets in the global investments markets. Specific responsibilities included initiating, analyzing, and conducting substantial due diligence examinations relating to operational costs, significant liabilities, and valuation of target companies and viable assets, preparing and analyzing accounting reports and models for presentation to internal executive management, developing valuation methodologies and risk analyses, advising and consulting on various commercial, technical, contractual, and economic issues, and negotiating and interfacing with outside counsel, consultants, and auditors.</w:t>
      </w:r>
    </w:p>
    <w:p>
      <w:pPr>
        <w:pStyle w:val="Heading3"/>
        <w:ind w:hanging="0" w:start="0"/>
        <w:rPr/>
      </w:pPr>
      <w:r>
        <w:rPr/>
      </w:r>
    </w:p>
    <w:p>
      <w:pPr>
        <w:pStyle w:val="Heading3"/>
        <w:tabs>
          <w:tab w:val="clear" w:pos="720"/>
          <w:tab w:val="right" w:pos="9990" w:leader="none"/>
        </w:tabs>
        <w:ind w:hanging="0" w:start="2160" w:end="0"/>
        <w:rPr/>
      </w:pPr>
      <w:r>
        <w:rPr/>
        <w:t xml:space="preserve">DELOITTE &amp; TOUCHE, L.L.P. </w:t>
        <w:tab/>
        <w:t>Houston, Texas</w:t>
      </w:r>
    </w:p>
    <w:p>
      <w:pPr>
        <w:pStyle w:val="Heading3"/>
        <w:tabs>
          <w:tab w:val="clear" w:pos="720"/>
          <w:tab w:val="left" w:pos="1440" w:leader="none"/>
          <w:tab w:val="left" w:pos="2160" w:leader="none"/>
          <w:tab w:val="left" w:pos="2880" w:leader="none"/>
          <w:tab w:val="right" w:pos="9990" w:leader="none"/>
        </w:tabs>
        <w:ind w:hanging="1440" w:start="1440" w:end="0"/>
        <w:rPr/>
      </w:pPr>
      <w:r>
        <w:rPr/>
        <w:tab/>
        <w:tab/>
        <w:t>Audit Senior</w:t>
        <w:tab/>
        <w:t xml:space="preserve">                                                                        August 1996 to May 1999</w:t>
      </w:r>
    </w:p>
    <w:p>
      <w:pPr>
        <w:pStyle w:val="Heading3"/>
        <w:tabs>
          <w:tab w:val="clear" w:pos="720"/>
          <w:tab w:val="left" w:pos="1440" w:leader="none"/>
          <w:tab w:val="left" w:pos="2160" w:leader="none"/>
          <w:tab w:val="left" w:pos="2880" w:leader="none"/>
          <w:tab w:val="right" w:pos="9990" w:leader="none"/>
        </w:tabs>
        <w:ind w:hanging="0" w:start="0"/>
        <w:rPr/>
      </w:pPr>
      <w:r>
        <w:rPr/>
        <w:tab/>
        <w:tab/>
        <w:t xml:space="preserve">Audit Staff                                                                 </w:t>
        <w:tab/>
        <w:t>September 1994 to August 1996</w:t>
      </w:r>
    </w:p>
    <w:p>
      <w:pPr>
        <w:pStyle w:val="BodyTextIndent"/>
        <w:tabs>
          <w:tab w:val="clear" w:pos="720"/>
          <w:tab w:val="left" w:pos="2160" w:leader="none"/>
        </w:tabs>
        <w:ind w:hanging="0" w:start="2160" w:end="0"/>
        <w:rPr/>
      </w:pPr>
      <w:r>
        <w:rPr/>
      </w:r>
    </w:p>
    <w:p>
      <w:pPr>
        <w:pStyle w:val="BodyTextIndent"/>
        <w:tabs>
          <w:tab w:val="clear" w:pos="720"/>
          <w:tab w:val="left" w:pos="2160" w:leader="none"/>
        </w:tabs>
        <w:ind w:start="2160" w:end="0"/>
        <w:rPr/>
      </w:pPr>
      <w:r>
        <w:rPr/>
        <w:tab/>
        <w:t>General responsibilities involved managing all aspects of audit engagements, supervising staff, and providing audit services to corporate clients in a variety of industries including oil and gas, oil field services, chemical, manufacturing, legal services, and government/not-for-profit. Additional experience included assisting in special projects relating to transactions involving the acquisition and disposition of assets and audits of defined contribution plans and defined benefit plans.</w:t>
      </w:r>
    </w:p>
    <w:p>
      <w:pPr>
        <w:pStyle w:val="BodyTextIndent"/>
        <w:tabs>
          <w:tab w:val="clear" w:pos="720"/>
          <w:tab w:val="left" w:pos="2160" w:leader="none"/>
        </w:tabs>
        <w:ind w:hanging="2080" w:end="0"/>
        <w:rPr/>
      </w:pPr>
      <w:r>
        <w:rPr/>
      </w:r>
    </w:p>
    <w:p>
      <w:pPr>
        <w:pStyle w:val="BodyTextIndent"/>
        <w:tabs>
          <w:tab w:val="clear" w:pos="720"/>
          <w:tab w:val="left" w:pos="4320" w:leader="none"/>
        </w:tabs>
        <w:ind w:start="2160" w:end="0"/>
        <w:rPr/>
      </w:pPr>
      <w:r>
        <w:rPr>
          <w:b/>
        </w:rPr>
        <w:t>OTHER</w:t>
      </w:r>
      <w:r>
        <w:rPr/>
        <w:tab/>
        <w:t>Professional Licensure:</w:t>
        <w:tab/>
        <w:t>Certified Public Accountant, licensed in the State of Texas</w:t>
      </w:r>
    </w:p>
    <w:p>
      <w:pPr>
        <w:pStyle w:val="BodyTextIndent"/>
        <w:tabs>
          <w:tab w:val="clear" w:pos="720"/>
          <w:tab w:val="left" w:pos="2160" w:leader="none"/>
          <w:tab w:val="left" w:pos="4320" w:leader="none"/>
        </w:tabs>
        <w:ind w:start="2160" w:end="0"/>
        <w:rPr/>
      </w:pPr>
      <w:r>
        <w:rPr/>
        <w:tab/>
        <w:t>Professional Affiliations:</w:t>
        <w:tab/>
        <w:t xml:space="preserve">American Institute of Certified Public Accountants </w:t>
      </w:r>
    </w:p>
    <w:p>
      <w:pPr>
        <w:pStyle w:val="BodyTextIndent"/>
        <w:tabs>
          <w:tab w:val="clear" w:pos="720"/>
          <w:tab w:val="left" w:pos="4320" w:leader="none"/>
        </w:tabs>
        <w:ind w:start="2160" w:end="0"/>
        <w:rPr/>
      </w:pPr>
      <w:r>
        <w:rPr/>
        <w:tab/>
        <w:t>Computer Skills:</w:t>
        <w:tab/>
        <w:t>Lotus 1-2-3, Microsoft Excel, Microsoft Word, Power</w:t>
      </w:r>
    </w:p>
    <w:p>
      <w:pPr>
        <w:pStyle w:val="BodyTextIndent"/>
        <w:tabs>
          <w:tab w:val="clear" w:pos="720"/>
          <w:tab w:val="left" w:pos="4320" w:leader="none"/>
        </w:tabs>
        <w:ind w:start="2160" w:end="0"/>
        <w:rPr/>
      </w:pPr>
      <w:r>
        <w:rPr/>
        <w:tab/>
        <w:tab/>
        <w:t>Point, and Arthur Andersen Research Manager</w:t>
      </w:r>
    </w:p>
    <w:p>
      <w:pPr>
        <w:pStyle w:val="BodyTextIndent"/>
        <w:tabs>
          <w:tab w:val="clear" w:pos="720"/>
          <w:tab w:val="left" w:pos="2160" w:leader="none"/>
          <w:tab w:val="left" w:pos="4320" w:leader="none"/>
        </w:tabs>
        <w:ind w:hanging="0" w:start="0" w:end="0"/>
        <w:rPr/>
      </w:pPr>
      <w:r>
        <w:rPr/>
        <w:tab/>
        <w:t>Community Activities:</w:t>
        <w:tab/>
        <w:t>Member, National Association of Asian American Professionals</w:t>
      </w:r>
    </w:p>
    <w:p>
      <w:pPr>
        <w:pStyle w:val="BodyTextIndent"/>
        <w:tabs>
          <w:tab w:val="clear" w:pos="720"/>
          <w:tab w:val="left" w:pos="2160" w:leader="none"/>
          <w:tab w:val="left" w:pos="4320" w:leader="none"/>
        </w:tabs>
        <w:ind w:hanging="0" w:start="0" w:end="0"/>
        <w:rPr/>
      </w:pPr>
      <w:r>
        <w:rPr/>
        <w:tab/>
        <w:tab/>
        <w:t>Volunteer, Junior Achievement</w:t>
      </w:r>
    </w:p>
    <w:sectPr>
      <w:type w:val="nextPage"/>
      <w:pgSz w:w="12240" w:h="15840"/>
      <w:pgMar w:left="994" w:right="1267"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1440" w:start="1440" w:end="0"/>
      <w:outlineLvl w:val="0"/>
    </w:pPr>
    <w:rPr>
      <w:b/>
      <w:caps/>
    </w:rPr>
  </w:style>
  <w:style w:type="paragraph" w:styleId="Heading2">
    <w:name w:val="heading 2"/>
    <w:basedOn w:val="Normal"/>
    <w:next w:val="Normal"/>
    <w:qFormat/>
    <w:pPr>
      <w:keepNext w:val="true"/>
      <w:numPr>
        <w:ilvl w:val="1"/>
        <w:numId w:val="1"/>
      </w:numPr>
      <w:tabs>
        <w:tab w:val="clear" w:pos="720"/>
        <w:tab w:val="left" w:pos="1800" w:leader="none"/>
      </w:tabs>
      <w:jc w:val="both"/>
      <w:outlineLvl w:val="1"/>
    </w:pPr>
    <w:rPr>
      <w:b/>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paragraph" w:styleId="Heading5">
    <w:name w:val="heading 5"/>
    <w:basedOn w:val="Normal"/>
    <w:next w:val="Normal"/>
    <w:qFormat/>
    <w:pPr>
      <w:keepNext w:val="true"/>
      <w:numPr>
        <w:ilvl w:val="4"/>
        <w:numId w:val="1"/>
      </w:numPr>
      <w:jc w:val="center"/>
      <w:outlineLvl w:val="4"/>
    </w:pPr>
    <w:rPr>
      <w:b/>
      <w:bCs/>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b/>
      <w:sz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08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2001-02-01T17:01:00Z</dcterms:created>
  <dc:creator>key_kasravi</dc:creator>
  <dc:description/>
  <dc:language>en-CA</dc:language>
  <cp:lastModifiedBy>Connie Lee</cp:lastModifiedBy>
  <cp:lastPrinted>2001-02-03T17:29:00Z</cp:lastPrinted>
  <dcterms:modified xsi:type="dcterms:W3CDTF">2001-03-05T16:17:00Z</dcterms:modified>
  <cp:revision>10</cp:revision>
  <dc:subject/>
  <dc:title>CONNIE NITA LEE</dc:title>
</cp:coreProperties>
</file>