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cs="Verdana"/>
        </w:rPr>
      </w:pPr>
      <w:r>
        <w:rPr>
          <w:rFonts w:cs="Verdana" w:ascii="Verdana" w:hAnsi="Verdana"/>
        </w:rPr>
        <w:t>December 5, 2002</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 xml:space="preserve">Representative John Dingell </w:t>
      </w:r>
    </w:p>
    <w:p>
      <w:pPr>
        <w:pStyle w:val="Normal"/>
        <w:rPr>
          <w:rFonts w:ascii="Verdana" w:hAnsi="Verdana" w:cs="Verdana"/>
        </w:rPr>
      </w:pPr>
      <w:r>
        <w:rPr>
          <w:rFonts w:cs="Verdana" w:ascii="Verdana" w:hAnsi="Verdana"/>
        </w:rPr>
        <w:t>2328 Rayburn House Office Building</w:t>
      </w:r>
    </w:p>
    <w:p>
      <w:pPr>
        <w:pStyle w:val="Normal"/>
        <w:rPr>
          <w:rFonts w:ascii="Verdana" w:hAnsi="Verdana" w:cs="Verdana"/>
        </w:rPr>
      </w:pPr>
      <w:r>
        <w:rPr>
          <w:rFonts w:cs="Verdana" w:ascii="Verdana" w:hAnsi="Verdana"/>
        </w:rPr>
        <w:t>Washington, DC  20515-2216</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Honorable Representative Dingell:</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My name is Jim Jurek and I am writing to you as a concerned ex-Enron employee with over 13 years of service with the company.  I was employed at Enron from 1981 through 1994 and like thousands of other current and ex-Enron employees, I kept my Enron stock for my retirement.  I did diversify out of some of it, but kept a sizable amount in an IRA which amounted to over $2,000,000 last year at this time and, as you know, its value is basically worthless today.  I've asked myself over and over again why I didn't sell out of this stock last year and I always come back to these same questions:</w:t>
      </w:r>
    </w:p>
    <w:p>
      <w:pPr>
        <w:pStyle w:val="Normal"/>
        <w:rPr>
          <w:rFonts w:ascii="Verdana" w:hAnsi="Verdana" w:cs="Verdana"/>
        </w:rPr>
      </w:pPr>
      <w:r>
        <w:rPr>
          <w:rFonts w:cs="Verdana" w:ascii="Verdana" w:hAnsi="Verdana"/>
        </w:rPr>
      </w:r>
    </w:p>
    <w:p>
      <w:pPr>
        <w:pStyle w:val="Normal"/>
        <w:numPr>
          <w:ilvl w:val="0"/>
          <w:numId w:val="1"/>
        </w:numPr>
        <w:rPr>
          <w:rFonts w:ascii="Verdana" w:hAnsi="Verdana" w:cs="Verdana"/>
        </w:rPr>
      </w:pPr>
      <w:r>
        <w:rPr>
          <w:rFonts w:cs="Verdana" w:ascii="Verdana" w:hAnsi="Verdana"/>
        </w:rPr>
        <w:t xml:space="preserve">Why would you sell this #7 Fortune 500 company's $80/share stock when </w:t>
      </w:r>
      <w:r>
        <w:rPr>
          <w:rFonts w:cs="Verdana" w:ascii="Verdana" w:hAnsi="Verdana"/>
          <w:u w:val="single"/>
        </w:rPr>
        <w:t>analysts</w:t>
      </w:r>
      <w:r>
        <w:rPr>
          <w:rFonts w:cs="Verdana" w:ascii="Verdana" w:hAnsi="Verdana"/>
        </w:rPr>
        <w:t xml:space="preserve"> targeted its 12-month price at $120/share?</w:t>
      </w:r>
    </w:p>
    <w:p>
      <w:pPr>
        <w:pStyle w:val="Normal"/>
        <w:numPr>
          <w:ilvl w:val="0"/>
          <w:numId w:val="1"/>
        </w:numPr>
        <w:rPr>
          <w:rFonts w:ascii="Verdana" w:hAnsi="Verdana" w:cs="Verdana"/>
        </w:rPr>
      </w:pPr>
      <w:r>
        <w:rPr>
          <w:rFonts w:cs="Verdana" w:ascii="Verdana" w:hAnsi="Verdana"/>
        </w:rPr>
        <w:t>Why would you sell if you didn't need the money now?</w:t>
      </w:r>
    </w:p>
    <w:p>
      <w:pPr>
        <w:pStyle w:val="Normal"/>
        <w:numPr>
          <w:ilvl w:val="0"/>
          <w:numId w:val="1"/>
        </w:numPr>
        <w:rPr>
          <w:rFonts w:ascii="Verdana" w:hAnsi="Verdana" w:cs="Verdana"/>
        </w:rPr>
      </w:pPr>
      <w:r>
        <w:rPr>
          <w:rFonts w:cs="Verdana" w:ascii="Verdana" w:hAnsi="Verdana"/>
        </w:rPr>
        <w:t>Why wouldn't you wait until after age 59 1/2 to start selling for retirement to minimize your tax liabilities?</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I've heard these same questions/statements from many, many current and ex-Enron employees over the last few weeks.  I certainly hope that you on the Commerce Committee and those in the SEC look at this situation very closely.</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 xml:space="preserve">From what I've read there were several senior officers that sold hundreds of millions of dollars in stock and stock options in the Spring and Summer of 2001.  My concern with this is they had the inside information that Enron Broadband, as well as other businesses, was not profitable when no one else had access to this information.  </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From what I can see now, Enron made some bad investments and took on a lot of debt in doing so.  But, the question to ask is what was Enron doing differently 3 weeks ago before their downfall that they were not doing 12 months ago when the stock was trading in the $80 range?  The answer is not one thing.  They were doing a lot of business and were profitable.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I lay blame to the above mentioned senior officers but also blame the quick 3-week fall into bankruptcy on the financial analysts and media - which in turn caused the ratings agencies to reduce Enron's credit rating triggering substantial debt payments.  These same analysts that issued the negative ratings on Enron's stock are the same ones that promoted the $120/share 12-month price target only 12 months ago and still had strong buy recommendations on the stock up until a month ago.  These same analysts claimed Enron would not give them enough financial information to make their calls.  If that was really the case, I feel there should be some law in place that forbids financial institutions to issue any kind of buy/sell or target price on a stock unless they have all the information to make that educated call.  I believe that if analysts were not permitted to promote a stock until they have sufficient information to make an educated judgement to inform the investing public, public companies would be more willing to divulge their complete financials.</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Page Two</w:t>
      </w:r>
    </w:p>
    <w:p>
      <w:pPr>
        <w:pStyle w:val="Normal"/>
        <w:rPr>
          <w:rFonts w:ascii="Verdana" w:hAnsi="Verdana" w:cs="Verdana"/>
        </w:rPr>
      </w:pPr>
      <w:r>
        <w:rPr>
          <w:rFonts w:cs="Verdana" w:ascii="Verdana" w:hAnsi="Verdana"/>
        </w:rPr>
        <w:t>December 5, 2001</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I personally can't blame the fall of the company on Ken Lay.  He was doing his job in promoting the company both domestically and internationally just as a Chairman should do.  He had his sight on retirement so he turned the management of the company over to so called 'qualified' individuals.  I honestly believe he, as well as the board of directors, were kept in the dark on the business problems at hand.  I feel I can say these things because I personally saw Mr. Lay in action in 1985 when Enron was formed as a result of the merger between Houston Natural Gas and Internorth.  I've personally experienced the times right after the merger when Peru nationalized Enron's Peruvian assets and also when a rogue Enron oil trader in New York kept two sets of books and had Enron exposed for hundreds of millions of dollars.  This could and should have brought a newly formed company down, but Mr. Lay's leadership got us through that rough time.  I witnessed another example of his leadership when a corporate raider was trying to take over the newly formed Enron.  The company didn't have enough money to hold the raider off and due to a proposal Mr. Lay made to employees, employees were rewarded monetarily for a risk Mr. Lay asked us to take and the corporate raider was successfully fought off.  He is totally committed to his employees and this current situation has to be tearing him up.  I believe he will do everything in his power to bring this company back if given the chance and sufficient time so the ex and current employees and all shareholders can gain something from their investments.</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I appreciate your valuable time for reading this letter and hope for the sake of all current and ex-employees that you will do everything in your power to investigate every aspect of this terrible loss.</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Should you need to reach me for any questions or discussions, my number is 713-974-9178.</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Respectfully,</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Jim Jurek</w:t>
      </w:r>
    </w:p>
    <w:p>
      <w:pPr>
        <w:pStyle w:val="Normal"/>
        <w:rPr>
          <w:rFonts w:ascii="Verdana" w:hAnsi="Verdana" w:cs="Verdana"/>
        </w:rPr>
      </w:pPr>
      <w:r>
        <w:rPr>
          <w:rFonts w:cs="Verdana" w:ascii="Verdana" w:hAnsi="Verdana"/>
        </w:rPr>
        <w:t>7619 Stone Arbor Drive</w:t>
      </w:r>
    </w:p>
    <w:p>
      <w:pPr>
        <w:pStyle w:val="Normal"/>
        <w:rPr>
          <w:rFonts w:ascii="Verdana" w:hAnsi="Verdana" w:cs="Verdana"/>
        </w:rPr>
      </w:pPr>
      <w:r>
        <w:rPr>
          <w:rFonts w:cs="Verdana" w:ascii="Verdana" w:hAnsi="Verdana"/>
        </w:rPr>
        <w:t>Sugar Land, TX  77479</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 xml:space="preserve">cc:  </w:t>
        <w:tab/>
        <w:t>Representative W. J. Tauzin</w:t>
      </w:r>
    </w:p>
    <w:p>
      <w:pPr>
        <w:pStyle w:val="Normal"/>
        <w:ind w:firstLine="720" w:end="0"/>
        <w:rPr>
          <w:rFonts w:ascii="Verdana" w:hAnsi="Verdana" w:cs="Verdana"/>
        </w:rPr>
      </w:pPr>
      <w:r>
        <w:rPr>
          <w:rFonts w:cs="Verdana" w:ascii="Verdana" w:hAnsi="Verdana"/>
        </w:rPr>
        <w:t>2183 Rayburn House Office Building</w:t>
      </w:r>
    </w:p>
    <w:p>
      <w:pPr>
        <w:pStyle w:val="Normal"/>
        <w:rPr>
          <w:rFonts w:ascii="Verdana" w:hAnsi="Verdana" w:cs="Verdana"/>
        </w:rPr>
      </w:pPr>
      <w:r>
        <w:rPr>
          <w:rFonts w:cs="Verdana" w:ascii="Verdana" w:hAnsi="Verdana"/>
        </w:rPr>
        <w:tab/>
        <w:t>Washington, DC  20515-1803</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ab/>
        <w:t>Senator Thomas Daschle</w:t>
      </w:r>
    </w:p>
    <w:p>
      <w:pPr>
        <w:pStyle w:val="Normal"/>
        <w:rPr>
          <w:rFonts w:ascii="Verdana" w:hAnsi="Verdana" w:cs="Verdana"/>
        </w:rPr>
      </w:pPr>
      <w:r>
        <w:rPr>
          <w:rFonts w:cs="Verdana" w:ascii="Verdana" w:hAnsi="Verdana"/>
        </w:rPr>
        <w:tab/>
        <w:t>509 Hart Senate Office Building</w:t>
      </w:r>
    </w:p>
    <w:p>
      <w:pPr>
        <w:pStyle w:val="Normal"/>
        <w:rPr>
          <w:rFonts w:ascii="Verdana" w:hAnsi="Verdana" w:cs="Verdana"/>
        </w:rPr>
      </w:pPr>
      <w:r>
        <w:rPr>
          <w:rFonts w:cs="Verdana" w:ascii="Verdana" w:hAnsi="Verdana"/>
        </w:rPr>
        <w:tab/>
        <w:t>Washington, DC  20510-4103</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ab/>
        <w:t>Senator Jeff Bingaman</w:t>
      </w:r>
    </w:p>
    <w:p>
      <w:pPr>
        <w:pStyle w:val="Normal"/>
        <w:rPr>
          <w:rFonts w:ascii="Verdana" w:hAnsi="Verdana" w:cs="Verdana"/>
        </w:rPr>
      </w:pPr>
      <w:r>
        <w:rPr>
          <w:rFonts w:cs="Verdana" w:ascii="Verdana" w:hAnsi="Verdana"/>
        </w:rPr>
        <w:tab/>
        <w:t>703 Hart Senate Office Building</w:t>
      </w:r>
    </w:p>
    <w:p>
      <w:pPr>
        <w:pStyle w:val="Normal"/>
        <w:rPr>
          <w:rFonts w:ascii="Verdana" w:hAnsi="Verdana" w:cs="Verdana"/>
        </w:rPr>
      </w:pPr>
      <w:r>
        <w:rPr>
          <w:rFonts w:cs="Verdana" w:ascii="Verdana" w:hAnsi="Verdana"/>
        </w:rPr>
        <w:tab/>
        <w:t>Washington, DC  20510-3102</w:t>
      </w:r>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2001-12-04T22:41:00Z</dcterms:created>
  <dc:creator>jurek</dc:creator>
  <dc:description/>
  <dc:language>en-CA</dc:language>
  <cp:lastModifiedBy>jurek</cp:lastModifiedBy>
  <cp:lastPrinted>2001-12-04T21:15:00Z</cp:lastPrinted>
  <dcterms:modified xsi:type="dcterms:W3CDTF">2001-12-05T11:30:00Z</dcterms:modified>
  <cp:revision>10</cp:revision>
  <dc:subject/>
  <dc:title>December 5, 2002</dc:title>
</cp:coreProperties>
</file>