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APX Congestion Management Market</w:t>
      </w:r>
    </w:p>
    <w:p>
      <w:pPr>
        <w:pStyle w:val="Normal"/>
        <w:jc w:val="center"/>
        <w:rPr>
          <w:b/>
          <w:sz w:val="22"/>
        </w:rPr>
      </w:pPr>
      <w:r>
        <w:rPr>
          <w:b/>
          <w:sz w:val="22"/>
        </w:rPr>
        <w:t>Business Proposal</w:t>
      </w:r>
    </w:p>
    <w:p>
      <w:pPr>
        <w:pStyle w:val="Normal"/>
        <w:jc w:val="center"/>
        <w:rPr>
          <w:b/>
          <w:sz w:val="22"/>
        </w:rPr>
      </w:pPr>
      <w:r>
        <w:rPr>
          <w:b/>
          <w:sz w:val="22"/>
        </w:rPr>
        <w:t>February 26, 200l</w:t>
      </w:r>
    </w:p>
    <w:p>
      <w:pPr>
        <w:pStyle w:val="Normal"/>
        <w:jc w:val="center"/>
        <w:rPr>
          <w:b/>
          <w:sz w:val="22"/>
        </w:rPr>
      </w:pPr>
      <w:r>
        <w:rPr>
          <w:b/>
          <w:sz w:val="22"/>
        </w:rPr>
      </w:r>
    </w:p>
    <w:p>
      <w:pPr>
        <w:pStyle w:val="Normal"/>
        <w:rPr>
          <w:b/>
          <w:sz w:val="22"/>
        </w:rPr>
      </w:pPr>
      <w:r>
        <w:rPr>
          <w:b/>
          <w:sz w:val="22"/>
        </w:rPr>
      </w:r>
    </w:p>
    <w:p>
      <w:pPr>
        <w:pStyle w:val="Heading1"/>
        <w:ind w:hanging="0" w:start="0"/>
        <w:rPr>
          <w:sz w:val="22"/>
        </w:rPr>
      </w:pPr>
      <w:r>
        <w:rPr>
          <w:sz w:val="22"/>
        </w:rPr>
        <w:t>Situation</w:t>
      </w:r>
    </w:p>
    <w:p>
      <w:pPr>
        <w:pStyle w:val="Normal"/>
        <w:rPr>
          <w:sz w:val="22"/>
        </w:rPr>
      </w:pPr>
      <w:r>
        <w:rPr>
          <w:sz w:val="22"/>
        </w:rPr>
      </w:r>
    </w:p>
    <w:p>
      <w:pPr>
        <w:pStyle w:val="BodyText"/>
        <w:rPr/>
      </w:pPr>
      <w:r>
        <w:rPr/>
        <w:t>The CAISO Day Ahead and Hour Ahead transmission procedures require the use of adjustment bids to resolve congestion.  Without sufficient adjustment bids, the CAISO must cut transactions in a fashion that may seem arbitrary to participants.  With the collapse of the CalPX and the portfolio adjustment bidding mechanism it operated, cuts in January 2001 vs. January 2000 were up 100 fold.  If no action is taken to introduce a new adjustment bidding mechanism to manage congestion, cuts during the summer of 2001 are expected to be even worse. Without this market, we all stand to lose millions of dollars by having schedules cut by the CAISO because there are no other short term alternatives to congestion management.</w:t>
      </w:r>
    </w:p>
    <w:p>
      <w:pPr>
        <w:pStyle w:val="BodyText"/>
        <w:rPr/>
      </w:pPr>
      <w:r>
        <w:rPr/>
      </w:r>
    </w:p>
    <w:p>
      <w:pPr>
        <w:pStyle w:val="BodyText"/>
        <w:rPr/>
      </w:pPr>
      <w:r>
        <w:rPr/>
        <w:t xml:space="preserve">The following table provides an indication of the costs that can be avoided if this market is implemented by APX. The table shows the range of your cost exposure of scheduling imports into the California market under the current situation. </w:t>
      </w:r>
    </w:p>
    <w:p>
      <w:pPr>
        <w:pStyle w:val="BodyText"/>
        <w:rPr/>
      </w:pPr>
      <w:r>
        <w:rPr/>
      </w:r>
    </w:p>
    <w:p>
      <w:pPr>
        <w:pStyle w:val="Normal"/>
        <w:rPr>
          <w:sz w:val="22"/>
        </w:rPr>
      </w:pPr>
      <w:r>
        <w:rPr>
          <w:sz w:val="22"/>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84495" cy="219710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11" r="-4" b="-11"/>
                    <a:stretch>
                      <a:fillRect/>
                    </a:stretch>
                  </pic:blipFill>
                  <pic:spPr bwMode="auto">
                    <a:xfrm>
                      <a:off x="0" y="0"/>
                      <a:ext cx="5484495" cy="2197100"/>
                    </a:xfrm>
                    <a:prstGeom prst="rect">
                      <a:avLst/>
                    </a:prstGeom>
                    <a:noFill/>
                  </pic:spPr>
                </pic:pic>
              </a:graphicData>
            </a:graphic>
          </wp:anchor>
        </w:drawing>
      </w:r>
    </w:p>
    <w:p>
      <w:pPr>
        <w:pStyle w:val="BodyText"/>
        <w:rPr>
          <w:sz w:val="22"/>
        </w:rPr>
      </w:pPr>
      <w:r>
        <w:rPr>
          <w:sz w:val="22"/>
        </w:rPr>
      </w:r>
    </w:p>
    <w:p>
      <w:pPr>
        <w:pStyle w:val="BodyText"/>
        <w:rPr/>
      </w:pPr>
      <w:r>
        <w:rPr/>
        <w:t xml:space="preserve">If you regularly schedule 200 MW of imports (without an FTR) your financial exposure due to congestion costs could range between $ 1 Million and $50 Million between June and December 2001.  The APX market will be the most effective way to protect yourself from unexpected congestion costs.  </w:t>
      </w:r>
    </w:p>
    <w:p>
      <w:pPr>
        <w:pStyle w:val="BodyText"/>
        <w:rPr/>
      </w:pPr>
      <w:r>
        <w:rPr/>
      </w:r>
    </w:p>
    <w:p>
      <w:pPr>
        <w:pStyle w:val="BodyText"/>
        <w:rPr/>
      </w:pPr>
      <w:r>
        <w:rPr/>
        <w:t>The investment we will require from you to develop this interim solution will be minor compared to the financial impact without it. If the APX market is not built, you will not be able to protect yourself from these congestion costs unless you are able to create a portfolio of sources and sinks with adjustment bids on both sides of the congested line or own FTRs for each congested line you utilize.</w:t>
      </w:r>
    </w:p>
    <w:p>
      <w:pPr>
        <w:pStyle w:val="BodyText"/>
        <w:rPr/>
      </w:pPr>
      <w:r>
        <w:rPr/>
      </w:r>
    </w:p>
    <w:p>
      <w:pPr>
        <w:pStyle w:val="Normal"/>
        <w:rPr>
          <w:sz w:val="22"/>
        </w:rPr>
      </w:pPr>
      <w:r>
        <w:rPr>
          <w:sz w:val="22"/>
        </w:rPr>
      </w:r>
    </w:p>
    <w:p>
      <w:pPr>
        <w:pStyle w:val="Normal"/>
        <w:rPr>
          <w:sz w:val="22"/>
        </w:rPr>
      </w:pPr>
      <w:r>
        <w:rPr>
          <w:sz w:val="22"/>
        </w:rPr>
      </w:r>
      <w:r>
        <w:br w:type="page"/>
      </w:r>
    </w:p>
    <w:p>
      <w:pPr>
        <w:pStyle w:val="Heading1"/>
        <w:ind w:hanging="0" w:start="0"/>
        <w:rPr>
          <w:sz w:val="22"/>
        </w:rPr>
      </w:pPr>
      <w:r>
        <w:rPr>
          <w:sz w:val="22"/>
        </w:rPr>
        <w:t>APX Solution</w:t>
      </w:r>
    </w:p>
    <w:p>
      <w:pPr>
        <w:pStyle w:val="Normal"/>
        <w:rPr>
          <w:sz w:val="22"/>
        </w:rPr>
      </w:pPr>
      <w:r>
        <w:rPr>
          <w:sz w:val="22"/>
        </w:rPr>
      </w:r>
    </w:p>
    <w:p>
      <w:pPr>
        <w:pStyle w:val="Normal"/>
        <w:rPr>
          <w:sz w:val="22"/>
        </w:rPr>
      </w:pPr>
      <w:r>
        <w:rPr>
          <w:sz w:val="22"/>
        </w:rPr>
        <w:t xml:space="preserve">APX will develop a Congestion Management Market (CMM) that will accept inc/dec bids into a zonal auction market.  The results of the zonal auction will be provided to the CAISO in order to resolve congestion based on the market.  Participation in the zonal auction market will provide participants full protection against loss due to congestion charges.  </w:t>
      </w:r>
    </w:p>
    <w:p>
      <w:pPr>
        <w:pStyle w:val="Normal"/>
        <w:rPr>
          <w:sz w:val="22"/>
        </w:rPr>
      </w:pPr>
      <w:r>
        <w:rPr>
          <w:sz w:val="22"/>
        </w:rPr>
      </w:r>
    </w:p>
    <w:p>
      <w:pPr>
        <w:pStyle w:val="BodyText"/>
        <w:rPr/>
      </w:pPr>
      <w:r>
        <w:rPr/>
        <w:t xml:space="preserve">We need a large pool of adjustment bids in order to have a workable solution and we believe that an up-front financial or volumetric commitment will guarantee this large pool of adjustment bids.  And, because this zonal auction will have a limited life, we are seeking financial commitments prior to developing this market.  APX is asking companies active in the California market to make an investment commensurate with the level of congestion exposure each company is likely to experience across congested transmission paths in California this summer. </w:t>
      </w:r>
    </w:p>
    <w:p>
      <w:pPr>
        <w:pStyle w:val="Normal"/>
        <w:rPr>
          <w:sz w:val="22"/>
        </w:rPr>
      </w:pPr>
      <w:r>
        <w:rPr>
          <w:sz w:val="22"/>
        </w:rPr>
      </w:r>
    </w:p>
    <w:p>
      <w:pPr>
        <w:pStyle w:val="Heading1"/>
        <w:ind w:hanging="0" w:start="0"/>
        <w:rPr>
          <w:sz w:val="22"/>
        </w:rPr>
      </w:pPr>
      <w:r>
        <w:rPr>
          <w:sz w:val="22"/>
        </w:rPr>
      </w:r>
    </w:p>
    <w:p>
      <w:pPr>
        <w:pStyle w:val="Heading1"/>
        <w:ind w:hanging="0" w:start="0"/>
        <w:rPr>
          <w:sz w:val="22"/>
        </w:rPr>
      </w:pPr>
      <w:r>
        <w:rPr>
          <w:sz w:val="22"/>
        </w:rPr>
        <w:t>CMM Term</w:t>
      </w:r>
    </w:p>
    <w:p>
      <w:pPr>
        <w:pStyle w:val="Normal"/>
        <w:rPr>
          <w:sz w:val="22"/>
        </w:rPr>
      </w:pPr>
      <w:r>
        <w:rPr>
          <w:sz w:val="22"/>
        </w:rPr>
      </w:r>
    </w:p>
    <w:p>
      <w:pPr>
        <w:pStyle w:val="Normal"/>
        <w:rPr>
          <w:sz w:val="22"/>
        </w:rPr>
      </w:pPr>
      <w:r>
        <w:rPr>
          <w:sz w:val="22"/>
        </w:rPr>
        <w:t xml:space="preserve">We anticipate the APX CMM will have a useful life span for the summer of 2001 with a significant chance that it will extend to the end of the year and some chance that it will extend into next year.  Once the CAISO implements its congestion management reform, this market will no longer be needed.  APX will continue to operate the CMM as long as there is a continued need and participant interest in doing so. </w:t>
      </w:r>
    </w:p>
    <w:p>
      <w:pPr>
        <w:pStyle w:val="Normal"/>
        <w:rPr>
          <w:sz w:val="22"/>
        </w:rPr>
      </w:pPr>
      <w:r>
        <w:rPr>
          <w:sz w:val="22"/>
        </w:rPr>
      </w:r>
    </w:p>
    <w:p>
      <w:pPr>
        <w:pStyle w:val="Heading2"/>
        <w:ind w:hanging="0" w:start="0"/>
        <w:rPr/>
      </w:pPr>
      <w:r>
        <w:rPr/>
        <w:t>Business Proposition</w:t>
      </w:r>
    </w:p>
    <w:p>
      <w:pPr>
        <w:pStyle w:val="Normal"/>
        <w:rPr/>
      </w:pPr>
      <w:r>
        <w:rPr/>
      </w:r>
    </w:p>
    <w:p>
      <w:pPr>
        <w:pStyle w:val="Normal"/>
        <w:rPr/>
      </w:pPr>
      <w:r>
        <w:rPr>
          <w:sz w:val="22"/>
        </w:rPr>
        <w:t xml:space="preserve">APX will develop the CMM and offer it as an additional service through the APX Market Window to customers if sufficient market subscription is obtained prior to </w:t>
      </w:r>
      <w:r>
        <w:rPr>
          <w:b/>
          <w:sz w:val="22"/>
        </w:rPr>
        <w:t>March 16, 2001</w:t>
      </w:r>
      <w:r>
        <w:rPr>
          <w:sz w:val="22"/>
        </w:rPr>
        <w:t xml:space="preserve">. </w:t>
      </w:r>
    </w:p>
    <w:p>
      <w:pPr>
        <w:pStyle w:val="Normal"/>
        <w:rPr>
          <w:sz w:val="22"/>
        </w:rPr>
      </w:pPr>
      <w:r>
        <w:rPr>
          <w:sz w:val="22"/>
        </w:rPr>
        <w:t>APX will offer special terms for companies that contribute to the development of the Congestion Management Market.  Two options are available for subscribing to this market as described below.</w:t>
      </w:r>
    </w:p>
    <w:p>
      <w:pPr>
        <w:pStyle w:val="Normal"/>
        <w:rPr>
          <w:sz w:val="22"/>
        </w:rPr>
      </w:pPr>
      <w:r>
        <w:rPr>
          <w:sz w:val="22"/>
        </w:rPr>
      </w:r>
    </w:p>
    <w:p>
      <w:pPr>
        <w:pStyle w:val="Normal"/>
        <w:rPr>
          <w:b/>
          <w:sz w:val="22"/>
        </w:rPr>
      </w:pPr>
      <w:r>
        <w:rPr>
          <w:b/>
          <w:sz w:val="22"/>
        </w:rPr>
        <w:t>Option 1:</w:t>
        <w:tab/>
        <w:t>Founder’s Subscription Option</w:t>
      </w:r>
    </w:p>
    <w:p>
      <w:pPr>
        <w:pStyle w:val="Normal"/>
        <w:rPr>
          <w:b/>
          <w:sz w:val="22"/>
        </w:rPr>
      </w:pPr>
      <w:r>
        <w:rPr>
          <w:b/>
          <w:sz w:val="22"/>
        </w:rPr>
      </w:r>
    </w:p>
    <w:p>
      <w:pPr>
        <w:pStyle w:val="Normal"/>
        <w:rPr>
          <w:sz w:val="22"/>
        </w:rPr>
      </w:pPr>
      <w:r>
        <w:rPr>
          <w:sz w:val="22"/>
        </w:rPr>
        <w:t>Founder’s Subscriptions of $ 750,000 will provide the participant use of this market without matching fees from market opening through December 2001 regardless of volume.  Founder’s Subscriptions are also available for $1,000,000 that will allow participants to utilize this market free of matching fees through May 2002. Payment can be accepted as a monthly bill for the duration of the year or as a one time up front payment.</w:t>
      </w:r>
    </w:p>
    <w:p>
      <w:pPr>
        <w:pStyle w:val="Normal"/>
        <w:rPr>
          <w:sz w:val="22"/>
        </w:rPr>
      </w:pPr>
      <w:r>
        <w:rPr>
          <w:sz w:val="22"/>
        </w:rPr>
      </w:r>
    </w:p>
    <w:p>
      <w:pPr>
        <w:pStyle w:val="Normal"/>
        <w:rPr>
          <w:b/>
          <w:sz w:val="22"/>
        </w:rPr>
      </w:pPr>
      <w:r>
        <w:rPr>
          <w:b/>
          <w:sz w:val="22"/>
        </w:rPr>
        <w:t>Option 2:</w:t>
        <w:tab/>
        <w:t>Subscription Service Option</w:t>
      </w:r>
    </w:p>
    <w:p>
      <w:pPr>
        <w:pStyle w:val="Normal"/>
        <w:rPr>
          <w:b/>
          <w:sz w:val="22"/>
        </w:rPr>
      </w:pPr>
      <w:r>
        <w:rPr>
          <w:b/>
          <w:sz w:val="22"/>
        </w:rPr>
      </w:r>
    </w:p>
    <w:p>
      <w:pPr>
        <w:pStyle w:val="Normal"/>
        <w:rPr>
          <w:sz w:val="22"/>
        </w:rPr>
      </w:pPr>
      <w:r>
        <w:rPr>
          <w:sz w:val="22"/>
        </w:rPr>
        <w:t>Subscription Service will allow participants to purchase fee reduction blocks that will offset their CMM matching fees.  The initial minimum subscription service is available for $300,000 with increments of $100,000.   Each fee reduction block entitles the participant to offset CMM matching fees in this market for up to the amount subscribed between market opening and the end of this year. Payment can be accepted as a monthly invoice for the difference in usage and pledge for the duration of the year or as a one time up front payment.</w:t>
      </w:r>
    </w:p>
    <w:p>
      <w:pPr>
        <w:pStyle w:val="Normal"/>
        <w:rPr>
          <w:sz w:val="22"/>
        </w:rPr>
      </w:pPr>
      <w:r>
        <w:rPr>
          <w:sz w:val="22"/>
        </w:rPr>
      </w:r>
    </w:p>
    <w:p>
      <w:pPr>
        <w:pStyle w:val="Normal"/>
        <w:rPr>
          <w:sz w:val="22"/>
          <w:u w:val="single"/>
        </w:rPr>
      </w:pPr>
      <w:r>
        <w:rPr>
          <w:sz w:val="22"/>
          <w:u w:val="single"/>
        </w:rPr>
        <w:t>APX will require firm commitments to move forward with this market of $ 3,000,000.</w:t>
      </w:r>
    </w:p>
    <w:p>
      <w:pPr>
        <w:pStyle w:val="Normal"/>
        <w:rPr>
          <w:sz w:val="22"/>
          <w:u w:val="single"/>
        </w:rPr>
      </w:pPr>
      <w:r>
        <w:rPr>
          <w:sz w:val="22"/>
          <w:u w:val="single"/>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sz w:val="22"/>
        </w:rPr>
      </w:pPr>
      <w:r>
        <w:rPr>
          <w:sz w:val="22"/>
        </w:rPr>
        <w:t>Cost Savings</w:t>
      </w:r>
    </w:p>
    <w:p>
      <w:pPr>
        <w:pStyle w:val="Normal"/>
        <w:rPr>
          <w:sz w:val="22"/>
        </w:rPr>
      </w:pPr>
      <w:r>
        <w:rPr>
          <w:sz w:val="22"/>
        </w:rPr>
      </w:r>
    </w:p>
    <w:p>
      <w:pPr>
        <w:pStyle w:val="Normal"/>
        <w:rPr>
          <w:sz w:val="22"/>
        </w:rPr>
      </w:pPr>
      <w:r>
        <w:rPr>
          <w:sz w:val="22"/>
        </w:rPr>
        <w:t>You save two ways by participating in this market.  The above table shows the range of your cost exposure of scheduling imports into the California market under the current situation.  If you regularly schedule 200 MW of imports (without an FTR) your financial exposure due to congestion costs could range between $ 1 Million and $50 Million.  The APX CMM will be the most effective way to protect yourself from unexpected congestion costs.  If the APX market is not built, you will not be able to protect yourself from these congestion costs unless you own an FTR or create a portfolio of sources and sinks with adjustment bids on both sides of the congested line.</w:t>
      </w:r>
    </w:p>
    <w:p>
      <w:pPr>
        <w:pStyle w:val="Normal"/>
        <w:rPr>
          <w:sz w:val="22"/>
        </w:rPr>
      </w:pPr>
      <w:r>
        <w:rPr>
          <w:sz w:val="22"/>
        </w:rPr>
      </w:r>
    </w:p>
    <w:p>
      <w:pPr>
        <w:pStyle w:val="Normal"/>
        <w:rPr>
          <w:sz w:val="22"/>
        </w:rPr>
      </w:pPr>
      <w:r>
        <w:rPr>
          <w:sz w:val="22"/>
        </w:rPr>
        <w:t>The following table shows how your investment in the APX CMM can cover your exposure to California congestion charges while offsetting CMM matching fees.</w:t>
      </w:r>
    </w:p>
    <w:p>
      <w:pPr>
        <w:pStyle w:val="Normal"/>
        <w:rPr>
          <w:sz w:val="22"/>
        </w:rPr>
      </w:pPr>
      <w:r>
        <w:rPr>
          <w:sz w:val="22"/>
        </w:rPr>
      </w:r>
    </w:p>
    <w:p>
      <w:pPr>
        <w:pStyle w:val="Normal"/>
        <w:rPr>
          <w:sz w:val="22"/>
        </w:rPr>
      </w:pPr>
      <w:r>
        <w:rPr>
          <w:sz w:val="22"/>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0685" cy="214312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10" r="-4" b="-10"/>
                    <a:stretch>
                      <a:fillRect/>
                    </a:stretch>
                  </pic:blipFill>
                  <pic:spPr bwMode="auto">
                    <a:xfrm>
                      <a:off x="0" y="0"/>
                      <a:ext cx="5480685" cy="2143125"/>
                    </a:xfrm>
                    <a:prstGeom prst="rect">
                      <a:avLst/>
                    </a:prstGeom>
                    <a:noFill/>
                  </pic:spPr>
                </pic:pic>
              </a:graphicData>
            </a:graphic>
          </wp:anchor>
        </w:drawing>
      </w:r>
    </w:p>
    <w:p>
      <w:pPr>
        <w:pStyle w:val="Normal"/>
        <w:rPr>
          <w:sz w:val="22"/>
        </w:rPr>
      </w:pPr>
      <w:r>
        <w:rPr>
          <w:sz w:val="22"/>
        </w:rPr>
      </w:r>
    </w:p>
    <w:p>
      <w:pPr>
        <w:pStyle w:val="BodyText"/>
        <w:rPr/>
      </w:pPr>
      <w:r>
        <w:rPr/>
        <w:t xml:space="preserve">By subscribing at the suggested APX commitment, your company can receive congestion cost protection while offsetting matching fee costs associated with participation in the CMM. Cost savings will vary for each company based on many factors (trading volume, plant location, importer vs. exporter, etc.).  </w:t>
      </w:r>
    </w:p>
    <w:p>
      <w:pPr>
        <w:pStyle w:val="Normal"/>
        <w:rPr>
          <w:sz w:val="22"/>
        </w:rPr>
      </w:pPr>
      <w:r>
        <w:rPr>
          <w:sz w:val="22"/>
        </w:rPr>
      </w:r>
    </w:p>
    <w:p>
      <w:pPr>
        <w:pStyle w:val="Normal"/>
        <w:rPr>
          <w:sz w:val="22"/>
        </w:rPr>
      </w:pPr>
      <w:r>
        <w:rPr>
          <w:sz w:val="22"/>
        </w:rPr>
        <w:t>You will also save because the participation has been priced so that you recover much of its value from the fees you save in participating in the market.  From APX’s perspective, this encourages liquidity in the market -- which benefits everyone.  From your perspective, you are signing up for participation with a minimum monthly fee and as a result guaranteeing yourself a superior power purchasing alternative when congestion costs are high this summer.</w:t>
      </w:r>
    </w:p>
    <w:p>
      <w:pPr>
        <w:pStyle w:val="Normal"/>
        <w:rPr>
          <w:sz w:val="22"/>
        </w:rPr>
      </w:pPr>
      <w:r>
        <w:rPr>
          <w:sz w:val="22"/>
        </w:rPr>
      </w:r>
    </w:p>
    <w:p>
      <w:pPr>
        <w:pStyle w:val="Normal"/>
        <w:rPr>
          <w:sz w:val="22"/>
        </w:rPr>
      </w:pPr>
      <w:r>
        <w:rPr>
          <w:sz w:val="22"/>
        </w:rPr>
      </w:r>
    </w:p>
    <w:p>
      <w:pPr>
        <w:pStyle w:val="Heading3"/>
        <w:ind w:hanging="0" w:start="0"/>
        <w:rPr>
          <w:u w:val="single"/>
        </w:rPr>
      </w:pPr>
      <w:r>
        <w:rPr>
          <w:u w:val="single"/>
        </w:rPr>
        <w:t>APX Fee Structure</w:t>
      </w:r>
    </w:p>
    <w:p>
      <w:pPr>
        <w:pStyle w:val="Normal"/>
        <w:rPr>
          <w:u w:val="single"/>
        </w:rPr>
      </w:pPr>
      <w:r>
        <w:rPr>
          <w:u w:val="single"/>
        </w:rPr>
      </w:r>
    </w:p>
    <w:p>
      <w:pPr>
        <w:pStyle w:val="Normal"/>
        <w:rPr>
          <w:sz w:val="22"/>
        </w:rPr>
      </w:pPr>
      <w:r>
        <w:rPr>
          <w:sz w:val="22"/>
        </w:rPr>
        <w:t>Anticipated matching fees for the CMM market will be:</w:t>
      </w:r>
    </w:p>
    <w:p>
      <w:pPr>
        <w:pStyle w:val="Normal"/>
        <w:numPr>
          <w:ilvl w:val="0"/>
          <w:numId w:val="2"/>
        </w:numPr>
        <w:rPr>
          <w:sz w:val="22"/>
        </w:rPr>
      </w:pPr>
      <w:r>
        <w:rPr>
          <w:sz w:val="22"/>
        </w:rPr>
        <w:t>In state generators bidding at the local hub: $ .15/MWh per side</w:t>
      </w:r>
    </w:p>
    <w:p>
      <w:pPr>
        <w:pStyle w:val="Normal"/>
        <w:numPr>
          <w:ilvl w:val="0"/>
          <w:numId w:val="2"/>
        </w:numPr>
        <w:rPr>
          <w:sz w:val="22"/>
        </w:rPr>
      </w:pPr>
      <w:r>
        <w:rPr>
          <w:sz w:val="22"/>
        </w:rPr>
        <w:t>In state load bidding at the local hub: $ .15/MWh per side</w:t>
      </w:r>
    </w:p>
    <w:p>
      <w:pPr>
        <w:pStyle w:val="Normal"/>
        <w:numPr>
          <w:ilvl w:val="0"/>
          <w:numId w:val="2"/>
        </w:numPr>
        <w:rPr>
          <w:sz w:val="22"/>
        </w:rPr>
      </w:pPr>
      <w:r>
        <w:rPr>
          <w:sz w:val="22"/>
        </w:rPr>
        <w:t>Imports and exports bidding at the border: $ .15/MWh per side</w:t>
      </w:r>
    </w:p>
    <w:p>
      <w:pPr>
        <w:pStyle w:val="Normal"/>
        <w:rPr>
          <w:sz w:val="22"/>
        </w:rPr>
      </w:pPr>
      <w:r>
        <w:rPr>
          <w:sz w:val="22"/>
        </w:rPr>
      </w:r>
    </w:p>
    <w:p>
      <w:pPr>
        <w:pStyle w:val="Normal"/>
        <w:rPr/>
      </w:pPr>
      <w:r>
        <w:rPr>
          <w:sz w:val="22"/>
        </w:rPr>
        <w:t xml:space="preserve">APX matching fees for its other hourly/daily energy markets, forward energy markets, green ticket market, ancillary services market, and fees for scheduling services will be charged at our standard rates.  </w:t>
      </w:r>
      <w:r>
        <w:rPr>
          <w:b/>
          <w:sz w:val="22"/>
        </w:rPr>
        <w:t>Please note that the incremental schedule resulting from the CMM will also trigger APX scheduling fees.  The APX scheduling fee covers sending schedules to the CAISO and settlement with the CAISO.  The APX scheduling fee is currently $0.0625/MWh per side.</w:t>
      </w:r>
    </w:p>
    <w:p>
      <w:pPr>
        <w:pStyle w:val="Normal"/>
        <w:rPr>
          <w:b/>
          <w:sz w:val="22"/>
        </w:rPr>
      </w:pPr>
      <w:r>
        <w:rPr>
          <w:b/>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22"/>
      <w:u w:val="single"/>
    </w:rPr>
  </w:style>
  <w:style w:type="paragraph" w:styleId="Heading3">
    <w:name w:val="heading 3"/>
    <w:basedOn w:val="Normal"/>
    <w:next w:val="Normal"/>
    <w:qFormat/>
    <w:pPr>
      <w:keepNext w:val="true"/>
      <w:numPr>
        <w:ilvl w:val="2"/>
        <w:numId w:val="1"/>
      </w:numPr>
      <w:outlineLvl w:val="2"/>
    </w:pPr>
    <w:rPr>
      <w:b/>
      <w:sz w:val="22"/>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2001-02-26T18:26:00Z</dcterms:created>
  <dc:creator>mdavis</dc:creator>
  <dc:description/>
  <dc:language>en-CA</dc:language>
  <cp:lastModifiedBy>mheinrich</cp:lastModifiedBy>
  <cp:lastPrinted>2001-02-26T13:07:00Z</cp:lastPrinted>
  <dcterms:modified xsi:type="dcterms:W3CDTF">2001-02-26T20:53:00Z</dcterms:modified>
  <cp:revision>12</cp:revision>
  <dc:subject/>
  <dc:title>APX Congestion Management</dc:title>
</cp:coreProperties>
</file>