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Header"/>
              <w:tabs>
                <w:tab w:val="clear" w:pos="4320"/>
                <w:tab w:val="clear" w:pos="8640"/>
              </w:tabs>
              <w:rPr/>
            </w:pPr>
            <w:r>
              <w:rPr/>
              <w:drawing>
                <wp:inline distT="0" distB="0" distL="0" distR="0">
                  <wp:extent cx="753745" cy="7543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53745" cy="754380"/>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November 17, 2000</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 xml:space="preserve">First Energy Fuel Marketing Inc. </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395 Ghent Road</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Suite 115</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Akron, Ohio 44333</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bCs/>
          <w:sz w:val="18"/>
        </w:rPr>
      </w:pPr>
      <w:r>
        <w:rPr>
          <w:rFonts w:cs="Arial" w:ascii="Arial" w:hAnsi="Arial"/>
          <w:sz w:val="18"/>
        </w:rPr>
        <w:t>Fax No.:  330-315-7464</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b/>
          <w:bCs/>
          <w:sz w:val="18"/>
        </w:rPr>
        <w:t>CONFIRMATION</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(“Confirmation”) shall confirm the agreement reached on November 8, 2000, (the “Trade Date”) between First Energy Fuel Marketing Inc. (“FIRST ENERGY”)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whereby FIRST ENERGY shall deliver to EPMI the Contract Quantity of Firm Energy during the Delivery Term at the Delivery Point, all as set forth in Part 1 in exchange for EPMI delivering to FIRST ENERGY the Contract Quantity of NYMEX MMBtu during the Delivery Term to be satisfied by the delivery of Coal from various sources and at the Delivery Points set forth in Part 2 (hereinafter referred to as the “Transaction”) ,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Heading1"/>
        <w:ind w:hanging="0" w:start="0"/>
        <w:jc w:val="center"/>
        <w:rPr>
          <w:b/>
          <w:bCs/>
        </w:rPr>
      </w:pPr>
      <w:r>
        <w:rPr>
          <w:b/>
          <w:bCs/>
        </w:rPr>
        <w:t>Part 1  ENERGY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bCs/>
          <w:sz w:val="18"/>
        </w:rPr>
      </w:pPr>
      <w:r>
        <w:rPr>
          <w:rFonts w:cs="Arial" w:ascii="Arial" w:hAnsi="Arial"/>
          <w:b/>
          <w:bCs/>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First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EPMI</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Delivery 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November 11, 2000 through December 31, 2000</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Hour ending (HE) 0100 through HE 2400 (24 Hours each day);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Eastern Prevailing Time.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Firm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Contract 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1</w:t>
            </w: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cs="Arial" w:ascii="Arial" w:hAnsi="Arial"/>
                <w:sz w:val="18"/>
              </w:rPr>
              <w:t xml:space="preserve"> Mws of Firm Energy for each hour in the Delivery Term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PJM Western Hub</w:t>
            </w:r>
          </w:p>
        </w:tc>
      </w:tr>
    </w:tbl>
    <w:p>
      <w:pPr>
        <w:pStyle w:val="Normal"/>
        <w:jc w:val="both"/>
        <w:rPr>
          <w:rFonts w:ascii="Arial" w:hAnsi="Arial" w:cs="Arial"/>
          <w:sz w:val="18"/>
          <w:u w:val="single"/>
        </w:rPr>
      </w:pPr>
      <w:r>
        <w:rPr>
          <w:rFonts w:cs="Arial" w:ascii="Arial" w:hAnsi="Arial"/>
          <w:sz w:val="18"/>
          <w:u w:val="single"/>
        </w:rPr>
      </w:r>
    </w:p>
    <w:p>
      <w:pPr>
        <w:pStyle w:val="Normal"/>
        <w:jc w:val="both"/>
        <w:rPr>
          <w:rFonts w:ascii="Arial" w:hAnsi="Arial" w:cs="Arial"/>
          <w:sz w:val="18"/>
        </w:rPr>
      </w:pPr>
      <w:r>
        <w:rPr>
          <w:rFonts w:cs="Arial" w:ascii="Arial" w:hAnsi="Arial"/>
          <w:sz w:val="18"/>
        </w:rPr>
        <w:t>Scheduling:</w:t>
        <w:tab/>
        <w:t>EPMI Real Time Operations: 1-800-684-1336</w:t>
      </w:r>
    </w:p>
    <w:p>
      <w:pPr>
        <w:pStyle w:val="Normal"/>
        <w:jc w:val="both"/>
        <w:rPr>
          <w:rFonts w:ascii="Arial" w:hAnsi="Arial" w:cs="Arial"/>
          <w:sz w:val="18"/>
          <w:u w:val="single"/>
        </w:rPr>
      </w:pPr>
      <w:r>
        <w:rPr>
          <w:rFonts w:eastAsia="Arial" w:cs="Arial" w:ascii="Arial" w:hAnsi="Arial"/>
          <w:sz w:val="18"/>
        </w:rPr>
        <w:t xml:space="preserve">                           </w:t>
      </w:r>
      <w:r>
        <w:rPr>
          <w:rFonts w:cs="Arial" w:ascii="Arial" w:hAnsi="Arial"/>
          <w:sz w:val="18"/>
        </w:rPr>
        <w:t>Daily pre-schedule by 12:00 pm EPT on the Business Day prior to delivery</w:t>
      </w:r>
    </w:p>
    <w:p>
      <w:pPr>
        <w:pStyle w:val="Normal"/>
        <w:jc w:val="both"/>
        <w:rPr>
          <w:rFonts w:ascii="Arial" w:hAnsi="Arial" w:cs="Arial"/>
          <w:b/>
          <w:bCs/>
          <w:sz w:val="18"/>
          <w:u w:val="single"/>
        </w:rPr>
      </w:pPr>
      <w:r>
        <w:rPr>
          <w:rFonts w:cs="Arial" w:ascii="Arial" w:hAnsi="Arial"/>
          <w:b/>
          <w:bCs/>
          <w:sz w:val="18"/>
          <w:u w:val="single"/>
        </w:rPr>
      </w:r>
    </w:p>
    <w:p>
      <w:pPr>
        <w:pStyle w:val="Normal"/>
        <w:jc w:val="both"/>
        <w:rPr>
          <w:rFonts w:ascii="Arial" w:hAnsi="Arial" w:cs="Arial"/>
          <w:b/>
          <w:bCs/>
          <w:sz w:val="18"/>
          <w:u w:val="single"/>
        </w:rPr>
      </w:pPr>
      <w:r>
        <w:rPr>
          <w:rFonts w:cs="Arial" w:ascii="Arial" w:hAnsi="Arial"/>
          <w:b/>
          <w:bCs/>
          <w:sz w:val="18"/>
          <w:u w:val="single"/>
        </w:rPr>
      </w:r>
    </w:p>
    <w:p>
      <w:pPr>
        <w:pStyle w:val="Heading4"/>
        <w:ind w:hanging="0" w:start="0"/>
        <w:rPr>
          <w:b/>
          <w:bCs/>
        </w:rPr>
      </w:pPr>
      <w:r>
        <w:rPr>
          <w:b/>
          <w:bCs/>
        </w:rPr>
        <w:t>Part 2  COAL DELIVERY</w:t>
      </w:r>
    </w:p>
    <w:p>
      <w:pPr>
        <w:pStyle w:val="Normal"/>
        <w:jc w:val="both"/>
        <w:rPr>
          <w:rFonts w:ascii="Arial" w:hAnsi="Arial" w:cs="Arial"/>
          <w:sz w:val="18"/>
          <w:u w:val="single"/>
        </w:rPr>
      </w:pPr>
      <w:r>
        <w:rPr>
          <w:rFonts w:cs="Arial" w:ascii="Arial" w:hAnsi="Arial"/>
          <w:sz w:val="18"/>
          <w:u w:val="single"/>
        </w:rPr>
      </w:r>
    </w:p>
    <w:p>
      <w:pPr>
        <w:pStyle w:val="Normal"/>
        <w:jc w:val="both"/>
        <w:rPr>
          <w:rFonts w:ascii="Arial" w:hAnsi="Arial" w:cs="Arial"/>
          <w:sz w:val="18"/>
        </w:rPr>
      </w:pPr>
      <w:r>
        <w:rPr>
          <w:rFonts w:cs="Arial" w:ascii="Arial" w:hAnsi="Arial"/>
          <w:sz w:val="18"/>
        </w:rPr>
        <w:t xml:space="preserve">Seller: </w:t>
        <w:tab/>
        <w:tab/>
        <w:tab/>
        <w:t>EPMI</w:t>
      </w:r>
    </w:p>
    <w:p>
      <w:pPr>
        <w:pStyle w:val="Normal"/>
        <w:jc w:val="both"/>
        <w:rPr>
          <w:rFonts w:ascii="Arial" w:hAnsi="Arial" w:cs="Arial"/>
          <w:sz w:val="18"/>
        </w:rPr>
      </w:pPr>
      <w:r>
        <w:rPr>
          <w:rFonts w:cs="Arial" w:ascii="Arial" w:hAnsi="Arial"/>
          <w:sz w:val="18"/>
        </w:rPr>
        <w:tab/>
      </w:r>
    </w:p>
    <w:p>
      <w:pPr>
        <w:pStyle w:val="Normal"/>
        <w:jc w:val="both"/>
        <w:rPr>
          <w:rFonts w:ascii="Arial" w:hAnsi="Arial" w:cs="Arial"/>
          <w:sz w:val="18"/>
        </w:rPr>
      </w:pPr>
      <w:r>
        <w:rPr>
          <w:rFonts w:cs="Arial" w:ascii="Arial" w:hAnsi="Arial"/>
          <w:sz w:val="18"/>
        </w:rPr>
        <w:t>Buyer:</w:t>
        <w:tab/>
        <w:tab/>
        <w:tab/>
        <w:t xml:space="preserve">First Energy </w:t>
      </w:r>
    </w:p>
    <w:p>
      <w:pPr>
        <w:pStyle w:val="Normal"/>
        <w:jc w:val="both"/>
        <w:rPr>
          <w:rFonts w:ascii="Arial" w:hAnsi="Arial" w:cs="Arial"/>
          <w:sz w:val="18"/>
        </w:rPr>
      </w:pPr>
      <w:r>
        <w:rPr>
          <w:rFonts w:cs="Arial" w:ascii="Arial" w:hAnsi="Arial"/>
          <w:sz w:val="18"/>
        </w:rPr>
        <w:tab/>
      </w:r>
    </w:p>
    <w:p>
      <w:pPr>
        <w:pStyle w:val="Normal"/>
        <w:jc w:val="both"/>
        <w:rPr>
          <w:rFonts w:ascii="Arial" w:hAnsi="Arial" w:cs="Arial"/>
          <w:sz w:val="18"/>
        </w:rPr>
      </w:pPr>
      <w:r>
        <w:rPr>
          <w:rFonts w:cs="Arial" w:ascii="Arial" w:hAnsi="Arial"/>
          <w:sz w:val="18"/>
        </w:rPr>
        <w:t>Delivery Term:</w:t>
        <w:tab/>
        <w:tab/>
        <w:t>January 1, 2001 to December 31, 2001 (inclusive)</w:t>
      </w:r>
    </w:p>
    <w:p>
      <w:pPr>
        <w:pStyle w:val="Normal"/>
        <w:jc w:val="both"/>
        <w:rPr>
          <w:rFonts w:ascii="Arial" w:hAnsi="Arial" w:cs="Arial"/>
          <w:sz w:val="18"/>
        </w:rPr>
      </w:pPr>
      <w:r>
        <w:rPr>
          <w:rFonts w:cs="Arial" w:ascii="Arial" w:hAnsi="Arial"/>
          <w:sz w:val="18"/>
        </w:rPr>
        <w:tab/>
      </w:r>
    </w:p>
    <w:p>
      <w:pPr>
        <w:pStyle w:val="Normal"/>
        <w:ind w:hanging="2160" w:start="2160" w:end="0"/>
        <w:jc w:val="both"/>
        <w:rPr>
          <w:rFonts w:ascii="Arial" w:hAnsi="Arial" w:cs="Arial"/>
          <w:sz w:val="18"/>
        </w:rPr>
      </w:pPr>
      <w:r>
        <w:rPr>
          <w:rFonts w:cs="Arial" w:ascii="Arial" w:hAnsi="Arial"/>
          <w:sz w:val="18"/>
        </w:rPr>
        <w:t>Contract</w:t>
      </w:r>
    </w:p>
    <w:p>
      <w:pPr>
        <w:pStyle w:val="Normal"/>
        <w:ind w:hanging="2160" w:start="2160" w:end="0"/>
        <w:jc w:val="both"/>
        <w:rPr>
          <w:rFonts w:ascii="Arial" w:hAnsi="Arial" w:cs="Arial"/>
          <w:sz w:val="18"/>
        </w:rPr>
      </w:pPr>
      <w:r>
        <w:rPr>
          <w:rFonts w:cs="Arial" w:ascii="Arial" w:hAnsi="Arial"/>
          <w:sz w:val="18"/>
        </w:rPr>
        <w:t>Quantity:</w:t>
        <w:tab/>
        <w:t>4,536,000 NYMEX MMBTU.</w:t>
      </w:r>
    </w:p>
    <w:p>
      <w:pPr>
        <w:pStyle w:val="Normal"/>
        <w:jc w:val="both"/>
        <w:rPr>
          <w:rFonts w:ascii="Arial" w:hAnsi="Arial" w:cs="Arial"/>
          <w:sz w:val="18"/>
        </w:rPr>
      </w:pPr>
      <w:r>
        <w:rPr>
          <w:rFonts w:cs="Arial" w:ascii="Arial" w:hAnsi="Arial"/>
          <w:sz w:val="18"/>
        </w:rPr>
        <w:tab/>
      </w:r>
    </w:p>
    <w:p>
      <w:pPr>
        <w:pStyle w:val="Normal"/>
        <w:jc w:val="both"/>
        <w:rPr>
          <w:rFonts w:ascii="Arial" w:hAnsi="Arial" w:cs="Arial"/>
          <w:sz w:val="18"/>
        </w:rPr>
      </w:pPr>
      <w:r>
        <w:rPr>
          <w:rFonts w:cs="Arial" w:ascii="Arial" w:hAnsi="Arial"/>
          <w:sz w:val="18"/>
        </w:rPr>
        <w:t>Delivery Point:</w:t>
        <w:tab/>
        <w:tab/>
        <w:t>Various Delivery Points determined by the Source of the Coal as detailed in this Confirmation.</w:t>
      </w:r>
    </w:p>
    <w:p>
      <w:pPr>
        <w:pStyle w:val="Normal"/>
        <w:jc w:val="both"/>
        <w:rPr>
          <w:rFonts w:ascii="Arial" w:hAnsi="Arial" w:cs="Arial"/>
          <w:sz w:val="18"/>
        </w:rPr>
      </w:pPr>
      <w:r>
        <w:rPr>
          <w:rFonts w:cs="Arial" w:ascii="Arial" w:hAnsi="Arial"/>
          <w:sz w:val="18"/>
        </w:rPr>
        <w:tab/>
      </w:r>
    </w:p>
    <w:p>
      <w:pPr>
        <w:pStyle w:val="BodyText"/>
        <w:rPr>
          <w:rFonts w:ascii="Arial" w:hAnsi="Arial" w:cs="Arial"/>
          <w:b w:val="false"/>
          <w:bCs/>
          <w:sz w:val="18"/>
        </w:rPr>
      </w:pPr>
      <w:r>
        <w:rPr>
          <w:rFonts w:cs="Arial" w:ascii="Arial" w:hAnsi="Arial"/>
          <w:b w:val="false"/>
          <w:bCs/>
          <w:sz w:val="18"/>
        </w:rPr>
      </w:r>
    </w:p>
    <w:p>
      <w:pPr>
        <w:pStyle w:val="BodyText"/>
        <w:rPr/>
      </w:pPr>
      <w:r>
        <w:rPr>
          <w:rFonts w:cs="Arial" w:ascii="Arial" w:hAnsi="Arial"/>
          <w:b w:val="false"/>
          <w:bCs/>
          <w:sz w:val="18"/>
        </w:rPr>
        <w:t>(A)  EPMI shall deliver to FIRST ENERGY the Contract Quantity to be satisfied by delivery of 189,000 tons of NYMEX quality Coal, or equivalent tons of Coal, during the Delivery Term. EPMI and FIRST ENERGY have agreed that EPMI may satisfy this obligation by delivering Coal from a number of Sources.</w:t>
      </w:r>
      <w:r>
        <w:rPr>
          <w:rFonts w:cs="Arial" w:ascii="Arial" w:hAnsi="Arial"/>
          <w:sz w:val="18"/>
        </w:rPr>
        <w:t xml:space="preserve">  </w:t>
      </w:r>
      <w:r>
        <w:rPr>
          <w:rFonts w:cs="Arial" w:ascii="Arial" w:hAnsi="Arial"/>
          <w:b w:val="false"/>
          <w:bCs/>
          <w:sz w:val="18"/>
        </w:rPr>
        <w:t>The quantity of NYMEX MMBtu delivered and/or made available for delivery shall be calculated using the following tables with a worked example for illustrative purposes set out below.</w:t>
      </w:r>
    </w:p>
    <w:p>
      <w:pPr>
        <w:pStyle w:val="BodyText"/>
        <w:rPr>
          <w:rFonts w:ascii="Arial" w:hAnsi="Arial" w:cs="Arial"/>
          <w:b w:val="false"/>
          <w:bCs/>
          <w:sz w:val="18"/>
        </w:rPr>
      </w:pPr>
      <w:r>
        <w:rPr>
          <w:rFonts w:cs="Arial" w:ascii="Arial" w:hAnsi="Arial"/>
          <w:b w:val="false"/>
          <w:bCs/>
          <w:sz w:val="18"/>
        </w:rPr>
      </w:r>
    </w:p>
    <w:p>
      <w:pPr>
        <w:pStyle w:val="BodyText"/>
        <w:rPr>
          <w:rFonts w:ascii="Arial" w:hAnsi="Arial" w:cs="Arial"/>
          <w:sz w:val="18"/>
        </w:rPr>
      </w:pPr>
      <w:r>
        <w:rPr>
          <w:rFonts w:cs="Arial" w:ascii="Arial" w:hAnsi="Arial"/>
          <w:sz w:val="18"/>
        </w:rPr>
      </w:r>
    </w:p>
    <w:p>
      <w:pPr>
        <w:pStyle w:val="Normal"/>
        <w:jc w:val="both"/>
        <w:rPr>
          <w:rFonts w:ascii="Arial" w:hAnsi="Arial" w:cs="Arial"/>
          <w:b/>
          <w:bCs/>
          <w:sz w:val="16"/>
        </w:rPr>
      </w:pPr>
      <w:r>
        <w:rPr>
          <w:rFonts w:cs="Arial" w:ascii="Arial" w:hAnsi="Arial"/>
          <w:b/>
          <w:bCs/>
          <w:sz w:val="16"/>
        </w:rPr>
        <w:t>Typical Coal Qualities</w:t>
        <w:tab/>
        <w:tab/>
        <w:tab/>
        <w:tab/>
      </w:r>
    </w:p>
    <w:tbl>
      <w:tblPr>
        <w:tblW w:w="10440" w:type="dxa"/>
        <w:jc w:val="start"/>
        <w:tblInd w:w="-72" w:type="dxa"/>
        <w:tblLayout w:type="fixed"/>
        <w:tblCellMar>
          <w:top w:w="0" w:type="dxa"/>
          <w:start w:w="108" w:type="dxa"/>
          <w:bottom w:w="0" w:type="dxa"/>
          <w:end w:w="108" w:type="dxa"/>
        </w:tblCellMar>
      </w:tblPr>
      <w:tblGrid>
        <w:gridCol w:w="1719"/>
        <w:gridCol w:w="1186"/>
        <w:gridCol w:w="1182"/>
        <w:gridCol w:w="1204"/>
        <w:gridCol w:w="1212"/>
        <w:gridCol w:w="1191"/>
        <w:gridCol w:w="1156"/>
        <w:gridCol w:w="1590"/>
      </w:tblGrid>
      <w:tr>
        <w:trPr/>
        <w:tc>
          <w:tcPr>
            <w:tcW w:w="1719" w:type="dxa"/>
            <w:tcBorders>
              <w:top w:val="single" w:sz="4" w:space="0" w:color="000000"/>
              <w:start w:val="single" w:sz="4" w:space="0" w:color="000000"/>
              <w:bottom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Coal</w:t>
            </w:r>
          </w:p>
        </w:tc>
        <w:tc>
          <w:tcPr>
            <w:tcW w:w="1186" w:type="dxa"/>
            <w:tcBorders>
              <w:top w:val="single" w:sz="4" w:space="0" w:color="000000"/>
              <w:bottom w:val="single" w:sz="4" w:space="0" w:color="000000"/>
            </w:tcBorders>
          </w:tcPr>
          <w:p>
            <w:pPr>
              <w:pStyle w:val="Normal"/>
              <w:spacing w:before="120" w:after="0"/>
              <w:jc w:val="center"/>
              <w:rPr>
                <w:rFonts w:ascii="Arial" w:hAnsi="Arial" w:cs="Arial"/>
                <w:sz w:val="16"/>
              </w:rPr>
            </w:pPr>
            <w:r>
              <w:rPr>
                <w:rFonts w:cs="Arial" w:ascii="Arial" w:hAnsi="Arial"/>
                <w:sz w:val="16"/>
              </w:rPr>
              <w:t>Maple</w:t>
            </w:r>
          </w:p>
          <w:p>
            <w:pPr>
              <w:pStyle w:val="Normal"/>
              <w:jc w:val="center"/>
              <w:rPr>
                <w:rFonts w:ascii="Arial" w:hAnsi="Arial" w:cs="Arial"/>
                <w:sz w:val="16"/>
              </w:rPr>
            </w:pPr>
            <w:r>
              <w:rPr>
                <w:rFonts w:cs="Arial" w:ascii="Arial" w:hAnsi="Arial"/>
                <w:sz w:val="16"/>
              </w:rPr>
              <w:t>Creek</w:t>
            </w:r>
          </w:p>
        </w:tc>
        <w:tc>
          <w:tcPr>
            <w:tcW w:w="1182" w:type="dxa"/>
            <w:tcBorders>
              <w:top w:val="single" w:sz="4" w:space="0" w:color="000000"/>
              <w:bottom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NS-Rail</w:t>
            </w:r>
          </w:p>
        </w:tc>
        <w:tc>
          <w:tcPr>
            <w:tcW w:w="1204" w:type="dxa"/>
            <w:tcBorders>
              <w:top w:val="single" w:sz="4" w:space="0" w:color="000000"/>
              <w:bottom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CSX-Rail</w:t>
            </w:r>
          </w:p>
        </w:tc>
        <w:tc>
          <w:tcPr>
            <w:tcW w:w="1212" w:type="dxa"/>
            <w:tcBorders>
              <w:top w:val="single" w:sz="4" w:space="0" w:color="000000"/>
              <w:bottom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River</w:t>
            </w:r>
          </w:p>
        </w:tc>
        <w:tc>
          <w:tcPr>
            <w:tcW w:w="1191" w:type="dxa"/>
            <w:tcBorders>
              <w:top w:val="single" w:sz="4" w:space="0" w:color="000000"/>
              <w:bottom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NYMEX</w:t>
            </w:r>
          </w:p>
        </w:tc>
        <w:tc>
          <w:tcPr>
            <w:tcW w:w="1156" w:type="dxa"/>
            <w:tcBorders>
              <w:top w:val="single" w:sz="4" w:space="0" w:color="000000"/>
              <w:bottom w:val="single" w:sz="4" w:space="0" w:color="000000"/>
            </w:tcBorders>
          </w:tcPr>
          <w:p>
            <w:pPr>
              <w:pStyle w:val="Normal"/>
              <w:spacing w:before="120" w:after="0"/>
              <w:jc w:val="center"/>
              <w:rPr>
                <w:rFonts w:ascii="Arial" w:hAnsi="Arial" w:cs="Arial"/>
                <w:sz w:val="16"/>
              </w:rPr>
            </w:pPr>
            <w:r>
              <w:rPr>
                <w:rFonts w:cs="Arial" w:ascii="Arial" w:hAnsi="Arial"/>
                <w:sz w:val="16"/>
              </w:rPr>
              <w:t>PRB</w:t>
            </w:r>
          </w:p>
          <w:p>
            <w:pPr>
              <w:pStyle w:val="Normal"/>
              <w:jc w:val="center"/>
              <w:rPr>
                <w:rFonts w:ascii="Arial" w:hAnsi="Arial" w:cs="Arial"/>
                <w:sz w:val="16"/>
              </w:rPr>
            </w:pPr>
            <w:r>
              <w:rPr>
                <w:rFonts w:cs="Arial" w:ascii="Arial" w:hAnsi="Arial"/>
                <w:sz w:val="16"/>
              </w:rPr>
              <w:t>8800</w:t>
            </w:r>
          </w:p>
        </w:tc>
        <w:tc>
          <w:tcPr>
            <w:tcW w:w="1590" w:type="dxa"/>
            <w:tcBorders>
              <w:top w:val="single" w:sz="4" w:space="0" w:color="000000"/>
              <w:bottom w:val="single" w:sz="4" w:space="0" w:color="000000"/>
              <w:end w:val="single" w:sz="4" w:space="0" w:color="000000"/>
            </w:tcBorders>
          </w:tcPr>
          <w:p>
            <w:pPr>
              <w:pStyle w:val="Normal"/>
              <w:snapToGrid w:val="false"/>
              <w:spacing w:before="120" w:after="0"/>
              <w:jc w:val="center"/>
              <w:rPr>
                <w:rFonts w:ascii="Arial" w:hAnsi="Arial" w:cs="Arial"/>
                <w:sz w:val="16"/>
              </w:rPr>
            </w:pPr>
            <w:r>
              <w:rPr>
                <w:rFonts w:cs="Arial" w:ascii="Arial" w:hAnsi="Arial"/>
                <w:sz w:val="16"/>
              </w:rPr>
            </w:r>
          </w:p>
          <w:p>
            <w:pPr>
              <w:pStyle w:val="Normal"/>
              <w:jc w:val="center"/>
              <w:rPr>
                <w:rFonts w:ascii="Arial" w:hAnsi="Arial" w:cs="Arial"/>
                <w:sz w:val="16"/>
              </w:rPr>
            </w:pPr>
            <w:r>
              <w:rPr>
                <w:rFonts w:cs="Arial" w:ascii="Arial" w:hAnsi="Arial"/>
                <w:sz w:val="16"/>
              </w:rPr>
              <w:t>Pitt Seam</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BTU</w:t>
            </w:r>
          </w:p>
        </w:tc>
        <w:tc>
          <w:tcPr>
            <w:tcW w:w="1186" w:type="dxa"/>
            <w:tcBorders>
              <w:top w:val="single" w:sz="4" w:space="0" w:color="000000"/>
              <w:start w:val="single" w:sz="4" w:space="0" w:color="000000"/>
              <w:bottom w:val="single" w:sz="4" w:space="0" w:color="000000"/>
              <w:end w:val="single" w:sz="4" w:space="0" w:color="000000"/>
            </w:tcBorders>
          </w:tcPr>
          <w:p>
            <w:pPr>
              <w:pStyle w:val="Normal"/>
              <w:ind w:end="-65"/>
              <w:jc w:val="center"/>
              <w:rPr>
                <w:rFonts w:ascii="Arial" w:hAnsi="Arial" w:cs="Arial"/>
                <w:sz w:val="16"/>
              </w:rPr>
            </w:pPr>
            <w:r>
              <w:rPr>
                <w:rFonts w:cs="Arial" w:ascii="Arial" w:hAnsi="Arial"/>
                <w:sz w:val="16"/>
              </w:rPr>
              <w:t>13,200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12,500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12,500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13,200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12,000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8,800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13,200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Base SO2</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2.42</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1.67</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0.80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3.80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Sulfur (%)</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1.60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0.75</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0.75</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0.79</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1.00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0.35</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2.51</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Ash (%)</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6.5</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12.0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13.5</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5.5</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Moisture (%)</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10.0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27.0</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7.0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Volatiles(%)</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34.5</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32.0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34.0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30.0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N/A</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34.0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HGI</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51</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43</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43</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41</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N/A</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52</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AFT (red:F) initial</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2,020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2,600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2,600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2,700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2,200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eastAsia="Arial" w:cs="Arial" w:ascii="Arial" w:hAnsi="Arial"/>
                <w:sz w:val="16"/>
              </w:rPr>
              <w:t xml:space="preserve"> </w:t>
            </w:r>
            <w:r>
              <w:rPr>
                <w:rFonts w:cs="Arial" w:ascii="Arial" w:hAnsi="Arial"/>
                <w:sz w:val="16"/>
              </w:rPr>
              <w:t>N/A</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2,100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Size</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 x 0</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 x 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 x 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 x 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3 x 0</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N/A</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2 x 0</w:t>
            </w:r>
          </w:p>
        </w:tc>
      </w:tr>
      <w:tr>
        <w:trPr/>
        <w:tc>
          <w:tcPr>
            <w:tcW w:w="1719"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Max Fines &lt;1/4”(%)</w:t>
            </w:r>
          </w:p>
        </w:tc>
        <w:tc>
          <w:tcPr>
            <w:tcW w:w="118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55</w:t>
            </w:r>
          </w:p>
        </w:tc>
        <w:tc>
          <w:tcPr>
            <w:tcW w:w="118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w:t>
            </w:r>
          </w:p>
        </w:tc>
        <w:tc>
          <w:tcPr>
            <w:tcW w:w="120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w:t>
            </w:r>
          </w:p>
        </w:tc>
        <w:tc>
          <w:tcPr>
            <w:tcW w:w="12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50</w:t>
            </w:r>
          </w:p>
        </w:tc>
        <w:tc>
          <w:tcPr>
            <w:tcW w:w="119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55</w:t>
            </w:r>
          </w:p>
        </w:tc>
        <w:tc>
          <w:tcPr>
            <w:tcW w:w="115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N/A</w:t>
            </w:r>
          </w:p>
        </w:tc>
        <w:tc>
          <w:tcPr>
            <w:tcW w:w="159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55</w:t>
            </w:r>
          </w:p>
        </w:tc>
      </w:tr>
      <w:tr>
        <w:trPr/>
        <w:tc>
          <w:tcPr>
            <w:tcW w:w="1719" w:type="dxa"/>
            <w:tcBorders>
              <w:top w:val="single" w:sz="4" w:space="0" w:color="000000"/>
              <w:start w:val="single" w:sz="4" w:space="0" w:color="000000"/>
              <w:bottom w:val="single" w:sz="4" w:space="0" w:color="000000"/>
            </w:tcBorders>
          </w:tcPr>
          <w:p>
            <w:pPr>
              <w:pStyle w:val="Normal"/>
              <w:jc w:val="center"/>
              <w:rPr>
                <w:rFonts w:ascii="Arial" w:hAnsi="Arial" w:cs="Arial"/>
                <w:sz w:val="16"/>
              </w:rPr>
            </w:pPr>
            <w:r>
              <w:rPr>
                <w:rFonts w:cs="Arial" w:ascii="Arial" w:hAnsi="Arial"/>
                <w:sz w:val="16"/>
              </w:rPr>
              <w:t>FOB</w:t>
            </w:r>
          </w:p>
        </w:tc>
        <w:tc>
          <w:tcPr>
            <w:tcW w:w="1186"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Barge, Monongahela River MP 30.2</w:t>
            </w:r>
          </w:p>
        </w:tc>
        <w:tc>
          <w:tcPr>
            <w:tcW w:w="1182"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Rail, NS-Thacker or Kenova Rail Districts</w:t>
            </w:r>
          </w:p>
        </w:tc>
        <w:tc>
          <w:tcPr>
            <w:tcW w:w="1204"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Rail, CSX-BS or Kanawha Rail Districts</w:t>
            </w:r>
          </w:p>
        </w:tc>
        <w:tc>
          <w:tcPr>
            <w:tcW w:w="1212"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Barge, Kanawha River MP 73.2</w:t>
            </w:r>
          </w:p>
        </w:tc>
        <w:tc>
          <w:tcPr>
            <w:tcW w:w="1191"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Barge, Big Sandy River or Ohio River between MP 306 and 317</w:t>
            </w:r>
          </w:p>
        </w:tc>
        <w:tc>
          <w:tcPr>
            <w:tcW w:w="1156" w:type="dxa"/>
            <w:tcBorders>
              <w:top w:val="single" w:sz="4" w:space="0" w:color="000000"/>
              <w:bottom w:val="single" w:sz="4" w:space="0" w:color="000000"/>
            </w:tcBorders>
          </w:tcPr>
          <w:p>
            <w:pPr>
              <w:pStyle w:val="Normal"/>
              <w:jc w:val="center"/>
              <w:rPr>
                <w:rFonts w:ascii="Arial" w:hAnsi="Arial" w:cs="Arial"/>
                <w:sz w:val="16"/>
              </w:rPr>
            </w:pPr>
            <w:r>
              <w:rPr>
                <w:rFonts w:cs="Arial" w:ascii="Arial" w:hAnsi="Arial"/>
                <w:sz w:val="16"/>
              </w:rPr>
              <w:t>Rail, PRB Joint Line</w:t>
            </w:r>
          </w:p>
        </w:tc>
        <w:tc>
          <w:tcPr>
            <w:tcW w:w="1590" w:type="dxa"/>
            <w:tcBorders>
              <w:top w:val="single" w:sz="4" w:space="0" w:color="000000"/>
              <w:bottom w:val="single" w:sz="4" w:space="0" w:color="000000"/>
              <w:end w:val="single" w:sz="4" w:space="0" w:color="000000"/>
            </w:tcBorders>
          </w:tcPr>
          <w:p>
            <w:pPr>
              <w:pStyle w:val="Normal"/>
              <w:jc w:val="center"/>
              <w:rPr>
                <w:rFonts w:ascii="Arial" w:hAnsi="Arial" w:cs="Arial"/>
                <w:sz w:val="16"/>
              </w:rPr>
            </w:pPr>
            <w:r>
              <w:rPr>
                <w:rFonts w:cs="Arial" w:ascii="Arial" w:hAnsi="Arial"/>
                <w:sz w:val="16"/>
              </w:rPr>
              <w:t>Rail, MGA Line</w:t>
            </w:r>
          </w:p>
        </w:tc>
      </w:tr>
    </w:tbl>
    <w:p>
      <w:pPr>
        <w:pStyle w:val="Normal"/>
        <w:jc w:val="center"/>
        <w:rPr>
          <w:rFonts w:ascii="Arial" w:hAnsi="Arial" w:cs="Arial"/>
          <w:sz w:val="18"/>
        </w:rPr>
      </w:pPr>
      <w:r>
        <w:rPr>
          <w:rFonts w:cs="Arial" w:ascii="Arial" w:hAnsi="Arial"/>
          <w:sz w:val="18"/>
        </w:rPr>
      </w:r>
    </w:p>
    <w:p>
      <w:pPr>
        <w:pStyle w:val="Normal"/>
        <w:jc w:val="both"/>
        <w:rPr>
          <w:rFonts w:ascii="Arial" w:hAnsi="Arial" w:cs="Arial"/>
          <w:b/>
          <w:bCs/>
          <w:sz w:val="18"/>
        </w:rPr>
      </w:pPr>
      <w:r>
        <w:rPr>
          <w:rFonts w:cs="Arial" w:ascii="Arial" w:hAnsi="Arial"/>
          <w:b/>
          <w:bCs/>
          <w:sz w:val="18"/>
        </w:rPr>
        <w:tab/>
        <w:tab/>
        <w:tab/>
        <w:tab/>
      </w:r>
    </w:p>
    <w:tbl>
      <w:tblPr>
        <w:tblW w:w="12102" w:type="dxa"/>
        <w:jc w:val="start"/>
        <w:tblInd w:w="-72" w:type="dxa"/>
        <w:tblLayout w:type="fixed"/>
        <w:tblCellMar>
          <w:top w:w="0" w:type="dxa"/>
          <w:start w:w="108" w:type="dxa"/>
          <w:bottom w:w="0" w:type="dxa"/>
          <w:end w:w="108" w:type="dxa"/>
        </w:tblCellMar>
      </w:tblPr>
      <w:tblGrid>
        <w:gridCol w:w="1779"/>
        <w:gridCol w:w="1011"/>
        <w:gridCol w:w="1072"/>
        <w:gridCol w:w="1233"/>
        <w:gridCol w:w="1246"/>
        <w:gridCol w:w="1223"/>
        <w:gridCol w:w="1205"/>
        <w:gridCol w:w="1671"/>
        <w:gridCol w:w="1662"/>
      </w:tblGrid>
      <w:tr>
        <w:trPr/>
        <w:tc>
          <w:tcPr>
            <w:tcW w:w="1779" w:type="dxa"/>
            <w:tcBorders>
              <w:top w:val="single" w:sz="4" w:space="0" w:color="000000"/>
              <w:start w:val="single" w:sz="4" w:space="0" w:color="000000"/>
            </w:tcBorders>
          </w:tcPr>
          <w:p>
            <w:pPr>
              <w:pStyle w:val="Normal"/>
              <w:spacing w:before="120" w:after="0"/>
              <w:rPr>
                <w:rFonts w:ascii="Arial" w:hAnsi="Arial" w:cs="Arial"/>
                <w:sz w:val="16"/>
              </w:rPr>
            </w:pPr>
            <w:r>
              <w:rPr>
                <w:rFonts w:cs="Arial" w:ascii="Arial" w:hAnsi="Arial"/>
                <w:sz w:val="16"/>
              </w:rPr>
              <w:t>Maximum Tons</w:t>
            </w:r>
          </w:p>
        </w:tc>
        <w:tc>
          <w:tcPr>
            <w:tcW w:w="1011"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181,236</w:t>
            </w:r>
          </w:p>
        </w:tc>
        <w:tc>
          <w:tcPr>
            <w:tcW w:w="1072"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192,346</w:t>
            </w:r>
          </w:p>
        </w:tc>
        <w:tc>
          <w:tcPr>
            <w:tcW w:w="1233"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192,346</w:t>
            </w:r>
          </w:p>
        </w:tc>
        <w:tc>
          <w:tcPr>
            <w:tcW w:w="1246"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161,818</w:t>
            </w:r>
          </w:p>
        </w:tc>
        <w:tc>
          <w:tcPr>
            <w:tcW w:w="1223"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189,000</w:t>
            </w:r>
          </w:p>
        </w:tc>
        <w:tc>
          <w:tcPr>
            <w:tcW w:w="1205" w:type="dxa"/>
            <w:tcBorders>
              <w:top w:val="single" w:sz="4" w:space="0" w:color="000000"/>
            </w:tcBorders>
          </w:tcPr>
          <w:p>
            <w:pPr>
              <w:pStyle w:val="Normal"/>
              <w:spacing w:before="120" w:after="0"/>
              <w:jc w:val="center"/>
              <w:rPr>
                <w:rFonts w:ascii="Arial" w:hAnsi="Arial" w:cs="Arial"/>
                <w:sz w:val="16"/>
              </w:rPr>
            </w:pPr>
            <w:r>
              <w:rPr>
                <w:rFonts w:cs="Arial" w:ascii="Arial" w:hAnsi="Arial"/>
                <w:sz w:val="16"/>
              </w:rPr>
              <w:t>1,081,032</w:t>
            </w:r>
          </w:p>
        </w:tc>
        <w:tc>
          <w:tcPr>
            <w:tcW w:w="1671" w:type="dxa"/>
            <w:tcBorders>
              <w:top w:val="single" w:sz="4" w:space="0" w:color="000000"/>
              <w:end w:val="single" w:sz="4" w:space="0" w:color="000000"/>
            </w:tcBorders>
          </w:tcPr>
          <w:p>
            <w:pPr>
              <w:pStyle w:val="Normal"/>
              <w:spacing w:before="120" w:after="0"/>
              <w:jc w:val="center"/>
              <w:rPr>
                <w:rFonts w:ascii="Arial" w:hAnsi="Arial" w:cs="Arial"/>
                <w:sz w:val="16"/>
              </w:rPr>
            </w:pPr>
            <w:r>
              <w:rPr>
                <w:rFonts w:cs="Arial" w:ascii="Arial" w:hAnsi="Arial"/>
                <w:sz w:val="16"/>
              </w:rPr>
              <w:t>210,911</w:t>
            </w:r>
          </w:p>
        </w:tc>
        <w:tc>
          <w:tcPr>
            <w:tcW w:w="1662" w:type="dxa"/>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1779" w:type="dxa"/>
            <w:tcBorders>
              <w:start w:val="single" w:sz="4" w:space="0" w:color="000000"/>
            </w:tcBorders>
          </w:tcPr>
          <w:p>
            <w:pPr>
              <w:pStyle w:val="Normal"/>
              <w:rPr>
                <w:rFonts w:ascii="Arial" w:hAnsi="Arial" w:cs="Arial"/>
                <w:sz w:val="16"/>
              </w:rPr>
            </w:pPr>
            <w:r>
              <w:rPr>
                <w:rFonts w:cs="Arial" w:ascii="Arial" w:hAnsi="Arial"/>
                <w:sz w:val="16"/>
              </w:rPr>
              <w:t>Maximum MMBTU</w:t>
            </w:r>
          </w:p>
        </w:tc>
        <w:tc>
          <w:tcPr>
            <w:tcW w:w="1011" w:type="dxa"/>
            <w:tcBorders/>
          </w:tcPr>
          <w:p>
            <w:pPr>
              <w:pStyle w:val="Normal"/>
              <w:jc w:val="center"/>
              <w:rPr>
                <w:rFonts w:ascii="Arial" w:hAnsi="Arial" w:cs="Arial"/>
                <w:sz w:val="16"/>
              </w:rPr>
            </w:pPr>
            <w:r>
              <w:rPr>
                <w:rFonts w:cs="Arial" w:ascii="Arial" w:hAnsi="Arial"/>
                <w:sz w:val="16"/>
              </w:rPr>
              <w:t>4,784,630</w:t>
            </w:r>
          </w:p>
        </w:tc>
        <w:tc>
          <w:tcPr>
            <w:tcW w:w="1072" w:type="dxa"/>
            <w:tcBorders/>
          </w:tcPr>
          <w:p>
            <w:pPr>
              <w:pStyle w:val="Normal"/>
              <w:jc w:val="center"/>
              <w:rPr>
                <w:rFonts w:ascii="Arial" w:hAnsi="Arial" w:cs="Arial"/>
                <w:sz w:val="16"/>
              </w:rPr>
            </w:pPr>
            <w:r>
              <w:rPr>
                <w:rFonts w:cs="Arial" w:ascii="Arial" w:hAnsi="Arial"/>
                <w:sz w:val="16"/>
              </w:rPr>
              <w:t>4,808,650</w:t>
            </w:r>
          </w:p>
        </w:tc>
        <w:tc>
          <w:tcPr>
            <w:tcW w:w="1233" w:type="dxa"/>
            <w:tcBorders/>
          </w:tcPr>
          <w:p>
            <w:pPr>
              <w:pStyle w:val="Normal"/>
              <w:jc w:val="center"/>
              <w:rPr>
                <w:rFonts w:ascii="Arial" w:hAnsi="Arial" w:cs="Arial"/>
                <w:sz w:val="16"/>
              </w:rPr>
            </w:pPr>
            <w:r>
              <w:rPr>
                <w:rFonts w:cs="Arial" w:ascii="Arial" w:hAnsi="Arial"/>
                <w:sz w:val="16"/>
              </w:rPr>
              <w:t>4,808,650</w:t>
            </w:r>
          </w:p>
        </w:tc>
        <w:tc>
          <w:tcPr>
            <w:tcW w:w="1246" w:type="dxa"/>
            <w:tcBorders/>
          </w:tcPr>
          <w:p>
            <w:pPr>
              <w:pStyle w:val="Normal"/>
              <w:jc w:val="center"/>
              <w:rPr>
                <w:rFonts w:ascii="Arial" w:hAnsi="Arial" w:cs="Arial"/>
                <w:sz w:val="16"/>
              </w:rPr>
            </w:pPr>
            <w:r>
              <w:rPr>
                <w:rFonts w:cs="Arial" w:ascii="Arial" w:hAnsi="Arial"/>
                <w:sz w:val="16"/>
              </w:rPr>
              <w:t>4,271,994</w:t>
            </w:r>
          </w:p>
        </w:tc>
        <w:tc>
          <w:tcPr>
            <w:tcW w:w="1223" w:type="dxa"/>
            <w:tcBorders/>
          </w:tcPr>
          <w:p>
            <w:pPr>
              <w:pStyle w:val="Normal"/>
              <w:jc w:val="center"/>
              <w:rPr>
                <w:rFonts w:ascii="Arial" w:hAnsi="Arial" w:cs="Arial"/>
                <w:sz w:val="16"/>
              </w:rPr>
            </w:pPr>
            <w:r>
              <w:rPr>
                <w:rFonts w:cs="Arial" w:ascii="Arial" w:hAnsi="Arial"/>
                <w:sz w:val="16"/>
              </w:rPr>
              <w:t>4,536,000</w:t>
            </w:r>
          </w:p>
        </w:tc>
        <w:tc>
          <w:tcPr>
            <w:tcW w:w="1205" w:type="dxa"/>
            <w:tcBorders/>
          </w:tcPr>
          <w:p>
            <w:pPr>
              <w:pStyle w:val="Normal"/>
              <w:jc w:val="center"/>
              <w:rPr>
                <w:rFonts w:ascii="Arial" w:hAnsi="Arial" w:cs="Arial"/>
                <w:sz w:val="16"/>
              </w:rPr>
            </w:pPr>
            <w:r>
              <w:rPr>
                <w:rFonts w:cs="Arial" w:ascii="Arial" w:hAnsi="Arial"/>
                <w:sz w:val="16"/>
              </w:rPr>
              <w:t>19,026,163</w:t>
            </w:r>
          </w:p>
        </w:tc>
        <w:tc>
          <w:tcPr>
            <w:tcW w:w="1671" w:type="dxa"/>
            <w:tcBorders>
              <w:end w:val="single" w:sz="4" w:space="0" w:color="000000"/>
            </w:tcBorders>
          </w:tcPr>
          <w:p>
            <w:pPr>
              <w:pStyle w:val="Normal"/>
              <w:jc w:val="center"/>
              <w:rPr>
                <w:rFonts w:ascii="Arial" w:hAnsi="Arial" w:cs="Arial"/>
                <w:sz w:val="16"/>
              </w:rPr>
            </w:pPr>
            <w:r>
              <w:rPr>
                <w:rFonts w:cs="Arial" w:ascii="Arial" w:hAnsi="Arial"/>
                <w:sz w:val="16"/>
              </w:rPr>
              <w:t>5,568.,050</w:t>
            </w:r>
          </w:p>
        </w:tc>
        <w:tc>
          <w:tcPr>
            <w:tcW w:w="1662" w:type="dxa"/>
            <w:tcBorders/>
            <w:tcMar>
              <w:start w:w="0" w:type="dxa"/>
              <w:end w:w="0" w:type="dxa"/>
            </w:tcMar>
          </w:tcPr>
          <w:p>
            <w:pPr>
              <w:pStyle w:val="Normal"/>
              <w:snapToGrid w:val="false"/>
              <w:rPr>
                <w:rFonts w:ascii="Arial" w:hAnsi="Arial" w:cs="Arial"/>
                <w:sz w:val="18"/>
              </w:rPr>
            </w:pPr>
            <w:r>
              <w:rPr>
                <w:rFonts w:cs="Arial" w:ascii="Arial" w:hAnsi="Arial"/>
                <w:sz w:val="18"/>
              </w:rPr>
            </w:r>
          </w:p>
        </w:tc>
      </w:tr>
      <w:tr>
        <w:trPr/>
        <w:tc>
          <w:tcPr>
            <w:tcW w:w="1779" w:type="dxa"/>
            <w:tcBorders>
              <w:start w:val="single" w:sz="4" w:space="0" w:color="000000"/>
              <w:bottom w:val="single" w:sz="4" w:space="0" w:color="000000"/>
            </w:tcBorders>
          </w:tcPr>
          <w:p>
            <w:pPr>
              <w:pStyle w:val="Normal"/>
              <w:rPr>
                <w:rFonts w:ascii="Arial" w:hAnsi="Arial" w:cs="Arial"/>
                <w:sz w:val="16"/>
              </w:rPr>
            </w:pPr>
            <w:r>
              <w:rPr>
                <w:rFonts w:cs="Arial" w:ascii="Arial" w:hAnsi="Arial"/>
                <w:sz w:val="16"/>
              </w:rPr>
              <w:t>Ratio</w:t>
            </w:r>
          </w:p>
        </w:tc>
        <w:tc>
          <w:tcPr>
            <w:tcW w:w="1011" w:type="dxa"/>
            <w:tcBorders>
              <w:bottom w:val="single" w:sz="4" w:space="0" w:color="000000"/>
            </w:tcBorders>
          </w:tcPr>
          <w:p>
            <w:pPr>
              <w:pStyle w:val="Normal"/>
              <w:jc w:val="center"/>
              <w:rPr>
                <w:rFonts w:ascii="Arial" w:hAnsi="Arial" w:cs="Arial"/>
                <w:sz w:val="16"/>
              </w:rPr>
            </w:pPr>
            <w:r>
              <w:rPr>
                <w:rFonts w:cs="Arial" w:ascii="Arial" w:hAnsi="Arial"/>
                <w:sz w:val="16"/>
              </w:rPr>
              <w:t>0.94804</w:t>
            </w:r>
          </w:p>
        </w:tc>
        <w:tc>
          <w:tcPr>
            <w:tcW w:w="1072" w:type="dxa"/>
            <w:tcBorders>
              <w:bottom w:val="single" w:sz="4" w:space="0" w:color="000000"/>
            </w:tcBorders>
          </w:tcPr>
          <w:p>
            <w:pPr>
              <w:pStyle w:val="Normal"/>
              <w:jc w:val="center"/>
              <w:rPr>
                <w:rFonts w:ascii="Arial" w:hAnsi="Arial" w:cs="Arial"/>
                <w:sz w:val="16"/>
              </w:rPr>
            </w:pPr>
            <w:r>
              <w:rPr>
                <w:rFonts w:cs="Arial" w:ascii="Arial" w:hAnsi="Arial"/>
                <w:sz w:val="16"/>
              </w:rPr>
              <w:t>0.94330</w:t>
            </w:r>
          </w:p>
        </w:tc>
        <w:tc>
          <w:tcPr>
            <w:tcW w:w="1233" w:type="dxa"/>
            <w:tcBorders>
              <w:bottom w:val="single" w:sz="4" w:space="0" w:color="000000"/>
            </w:tcBorders>
          </w:tcPr>
          <w:p>
            <w:pPr>
              <w:pStyle w:val="Normal"/>
              <w:jc w:val="center"/>
              <w:rPr>
                <w:rFonts w:ascii="Arial" w:hAnsi="Arial" w:cs="Arial"/>
                <w:sz w:val="16"/>
              </w:rPr>
            </w:pPr>
            <w:r>
              <w:rPr>
                <w:rFonts w:cs="Arial" w:ascii="Arial" w:hAnsi="Arial"/>
                <w:sz w:val="16"/>
              </w:rPr>
              <w:t>0.94330</w:t>
            </w:r>
          </w:p>
        </w:tc>
        <w:tc>
          <w:tcPr>
            <w:tcW w:w="1246" w:type="dxa"/>
            <w:tcBorders>
              <w:bottom w:val="single" w:sz="4" w:space="0" w:color="000000"/>
            </w:tcBorders>
          </w:tcPr>
          <w:p>
            <w:pPr>
              <w:pStyle w:val="Normal"/>
              <w:jc w:val="center"/>
              <w:rPr>
                <w:rFonts w:ascii="Arial" w:hAnsi="Arial" w:cs="Arial"/>
                <w:sz w:val="16"/>
              </w:rPr>
            </w:pPr>
            <w:r>
              <w:rPr>
                <w:rFonts w:cs="Arial" w:ascii="Arial" w:hAnsi="Arial"/>
                <w:sz w:val="16"/>
              </w:rPr>
              <w:t>1.06180</w:t>
            </w:r>
          </w:p>
        </w:tc>
        <w:tc>
          <w:tcPr>
            <w:tcW w:w="1223" w:type="dxa"/>
            <w:tcBorders>
              <w:bottom w:val="single" w:sz="4" w:space="0" w:color="000000"/>
            </w:tcBorders>
          </w:tcPr>
          <w:p>
            <w:pPr>
              <w:pStyle w:val="Normal"/>
              <w:jc w:val="center"/>
              <w:rPr>
                <w:rFonts w:ascii="Arial" w:hAnsi="Arial" w:cs="Arial"/>
                <w:sz w:val="16"/>
              </w:rPr>
            </w:pPr>
            <w:r>
              <w:rPr>
                <w:rFonts w:cs="Arial" w:ascii="Arial" w:hAnsi="Arial"/>
                <w:sz w:val="16"/>
              </w:rPr>
              <w:t>1.00000</w:t>
            </w:r>
          </w:p>
        </w:tc>
        <w:tc>
          <w:tcPr>
            <w:tcW w:w="1205" w:type="dxa"/>
            <w:tcBorders>
              <w:bottom w:val="single" w:sz="4" w:space="0" w:color="000000"/>
            </w:tcBorders>
          </w:tcPr>
          <w:p>
            <w:pPr>
              <w:pStyle w:val="Normal"/>
              <w:spacing w:before="0" w:after="120"/>
              <w:jc w:val="center"/>
              <w:rPr>
                <w:rFonts w:ascii="Arial" w:hAnsi="Arial" w:cs="Arial"/>
                <w:sz w:val="16"/>
              </w:rPr>
            </w:pPr>
            <w:r>
              <w:rPr>
                <w:rFonts w:cs="Arial" w:ascii="Arial" w:hAnsi="Arial"/>
                <w:sz w:val="16"/>
              </w:rPr>
              <w:t>0.23841</w:t>
            </w:r>
          </w:p>
        </w:tc>
        <w:tc>
          <w:tcPr>
            <w:tcW w:w="1671" w:type="dxa"/>
            <w:tcBorders>
              <w:bottom w:val="single" w:sz="4" w:space="0" w:color="000000"/>
              <w:end w:val="single" w:sz="4" w:space="0" w:color="000000"/>
            </w:tcBorders>
          </w:tcPr>
          <w:p>
            <w:pPr>
              <w:pStyle w:val="Normal"/>
              <w:spacing w:before="0" w:after="120"/>
              <w:jc w:val="center"/>
              <w:rPr>
                <w:rFonts w:ascii="Arial" w:hAnsi="Arial" w:cs="Arial"/>
                <w:sz w:val="16"/>
              </w:rPr>
            </w:pPr>
            <w:r>
              <w:rPr>
                <w:rFonts w:cs="Arial" w:ascii="Arial" w:hAnsi="Arial"/>
                <w:sz w:val="16"/>
              </w:rPr>
              <w:t>0.81465</w:t>
            </w:r>
          </w:p>
        </w:tc>
        <w:tc>
          <w:tcPr>
            <w:tcW w:w="1662" w:type="dxa"/>
            <w:tcBorders/>
          </w:tcPr>
          <w:p>
            <w:pPr>
              <w:pStyle w:val="Normal"/>
              <w:jc w:val="center"/>
              <w:rPr>
                <w:rFonts w:ascii="Arial" w:hAnsi="Arial" w:cs="Arial"/>
                <w:sz w:val="18"/>
              </w:rPr>
            </w:pPr>
            <w:r>
              <w:rPr>
                <w:rFonts w:cs="Arial" w:ascii="Arial" w:hAnsi="Arial"/>
                <w:sz w:val="18"/>
              </w:rPr>
              <w:t>0.81465</w:t>
            </w:r>
          </w:p>
        </w:tc>
      </w:tr>
    </w:tbl>
    <w:p>
      <w:pPr>
        <w:pStyle w:val="Normal"/>
        <w:jc w:val="both"/>
        <w:rPr>
          <w:rFonts w:ascii="Arial" w:hAnsi="Arial" w:cs="Arial"/>
          <w:sz w:val="18"/>
        </w:rPr>
      </w:pPr>
      <w:r>
        <w:rPr>
          <w:rFonts w:cs="Arial" w:ascii="Arial" w:hAnsi="Arial"/>
          <w:sz w:val="18"/>
        </w:rPr>
      </w:r>
    </w:p>
    <w:p>
      <w:pPr>
        <w:pStyle w:val="Normal"/>
        <w:ind w:hanging="2430" w:start="2430" w:end="0"/>
        <w:jc w:val="both"/>
        <w:rPr/>
      </w:pPr>
      <w:r>
        <w:rPr>
          <w:rFonts w:cs="Arial" w:ascii="Arial" w:hAnsi="Arial"/>
          <w:sz w:val="18"/>
        </w:rPr>
        <w:t xml:space="preserve">Maximum MMBtu Example </w:t>
      </w:r>
      <w:r>
        <w:rPr>
          <w:rFonts w:cs="Arial" w:ascii="Arial" w:hAnsi="Arial"/>
          <w:sz w:val="16"/>
        </w:rPr>
        <w:t>(189,000 tons)* (112,000BTU/Lb)*(2000/LB/ton)/(1,000,000BTU/MMBTU) = 4,536,000 (for NYMEX                           MMBTU)</w:t>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6"/>
        </w:rPr>
      </w:pPr>
      <w:r>
        <w:rPr>
          <w:rFonts w:cs="Arial" w:ascii="Arial" w:hAnsi="Arial"/>
          <w:sz w:val="16"/>
        </w:rPr>
        <w:t>NYMEX MMBTU Example</w:t>
        <w:tab/>
        <w:t xml:space="preserve">  (10,000 Tons Maple Creek)* (13200 BTU/Lb.)*(2000Lb/Ton)*(0.94804)/(1,000,000 BTU/MMBTU) =</w:t>
      </w:r>
    </w:p>
    <w:p>
      <w:pPr>
        <w:pStyle w:val="Normal"/>
        <w:jc w:val="both"/>
        <w:rPr>
          <w:rFonts w:ascii="Arial" w:hAnsi="Arial" w:cs="Arial"/>
          <w:sz w:val="16"/>
        </w:rPr>
      </w:pPr>
      <w:r>
        <w:rPr>
          <w:rFonts w:cs="Arial" w:ascii="Arial" w:hAnsi="Arial"/>
          <w:sz w:val="16"/>
        </w:rPr>
        <w:tab/>
        <w:tab/>
        <w:tab/>
        <w:tab/>
        <w:tab/>
        <w:tab/>
        <w:tab/>
        <w:tab/>
        <w:tab/>
        <w:tab/>
        <w:t>250,282.56 NYMEX MMBTU)</w:t>
      </w:r>
    </w:p>
    <w:p>
      <w:pPr>
        <w:pStyle w:val="Normal"/>
        <w:jc w:val="both"/>
        <w:rPr>
          <w:rFonts w:ascii="Arial" w:hAnsi="Arial" w:cs="Arial"/>
          <w:sz w:val="16"/>
        </w:rPr>
      </w:pPr>
      <w:r>
        <w:rPr>
          <w:rFonts w:cs="Arial" w:ascii="Arial" w:hAnsi="Arial"/>
          <w:sz w:val="16"/>
        </w:rPr>
      </w:r>
    </w:p>
    <w:p>
      <w:pPr>
        <w:pStyle w:val="Normal"/>
        <w:jc w:val="both"/>
        <w:rPr>
          <w:rFonts w:ascii="Arial" w:hAnsi="Arial" w:cs="Arial"/>
          <w:sz w:val="18"/>
        </w:rPr>
      </w:pPr>
      <w:r>
        <w:rPr>
          <w:rFonts w:cs="Arial" w:ascii="Arial" w:hAnsi="Arial"/>
          <w:sz w:val="18"/>
        </w:rPr>
        <w:t>(B) EPMI shall not deliver to FIRST ENERGY any more than 30,000 tons of Coal in any one calendar month, except for PRB 8800 coal, which EPMI shall be permitted to deliver no more than 80,000 tons per calendar month.  Provided that FIRST ENERGY confirms that it will accept delivery of quantities of synthetic fuel within three (3) Business Days of being notified by EPMI of EPMI’s intention to deliver synthetic fuel, EPMI shall be entitled to deliver synthetic fuel to FIRST ENERGY.  EPMI shall pay to FIRST ENERGY the sum of $1 per ton for every ton of synthetic fuel which FIRST ENERGY accepts delivery of.</w:t>
      </w:r>
    </w:p>
    <w:p>
      <w:pPr>
        <w:pStyle w:val="Normal"/>
        <w:jc w:val="both"/>
        <w:rPr>
          <w:rFonts w:ascii="Arial" w:hAnsi="Arial" w:cs="Arial"/>
          <w:sz w:val="18"/>
        </w:rPr>
      </w:pPr>
      <w:r>
        <w:rPr>
          <w:rFonts w:cs="Arial" w:ascii="Arial" w:hAnsi="Arial"/>
          <w:sz w:val="18"/>
        </w:rPr>
        <w:tab/>
      </w:r>
    </w:p>
    <w:p>
      <w:pPr>
        <w:pStyle w:val="BodyText2"/>
        <w:rPr/>
      </w:pPr>
      <w:r>
        <w:rPr/>
        <w:t>(C) EPMI shall, 15 days prior to the beginning of each month by notice in writing to FIRST ENERGY advise FIRST ENERGY of the Source(s) and tons from each Source, of the Coal to be delivered in the following calendar month and FIRST ENERGY agrees, subject to the additional confirmation required in respect of synthetic fuel, to accept delivery of such quantities of Coal at the Delivery Points.</w:t>
      </w:r>
    </w:p>
    <w:p>
      <w:pPr>
        <w:pStyle w:val="Normal"/>
        <w:jc w:val="both"/>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 xml:space="preserve">(D) Shipments of Coal will be in whole barge or unit train increments.  </w:t>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sz w:val="18"/>
        </w:rPr>
        <w:t xml:space="preserve">(E)  </w:t>
      </w:r>
      <w:r>
        <w:rPr>
          <w:rFonts w:cs="Arial" w:ascii="Arial" w:hAnsi="Arial"/>
          <w:b/>
          <w:sz w:val="18"/>
          <w:u w:val="single"/>
        </w:rPr>
        <w:t>SO</w:t>
      </w:r>
      <w:r>
        <w:rPr>
          <w:rFonts w:cs="Arial" w:ascii="Arial" w:hAnsi="Arial"/>
          <w:b/>
          <w:sz w:val="18"/>
          <w:u w:val="single"/>
          <w:vertAlign w:val="subscript"/>
        </w:rPr>
        <w:t>2</w:t>
      </w:r>
      <w:r>
        <w:rPr>
          <w:rFonts w:cs="Arial" w:ascii="Arial" w:hAnsi="Arial"/>
          <w:b/>
          <w:sz w:val="18"/>
          <w:u w:val="single"/>
        </w:rPr>
        <w:t xml:space="preserve"> Adjustment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r>
    </w:p>
    <w:p>
      <w:pPr>
        <w:pStyle w:val="Normal"/>
        <w:tabs>
          <w:tab w:val="left" w:pos="-1080" w:leader="none"/>
          <w:tab w:val="left" w:pos="-720" w:leader="none"/>
          <w:tab w:val="left" w:pos="0" w:leader="none"/>
          <w:tab w:val="left" w:pos="18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sz w:val="18"/>
        </w:rPr>
        <w:tab/>
        <w:tab/>
        <w:t>If it is determined that the weighted average pounds of SO</w:t>
      </w:r>
      <w:r>
        <w:rPr>
          <w:rFonts w:cs="Arial" w:ascii="Arial" w:hAnsi="Arial"/>
          <w:sz w:val="18"/>
          <w:vertAlign w:val="subscript"/>
        </w:rPr>
        <w:t>2</w:t>
      </w:r>
      <w:r>
        <w:rPr>
          <w:rFonts w:cs="Arial" w:ascii="Arial" w:hAnsi="Arial"/>
          <w:sz w:val="18"/>
        </w:rPr>
        <w:t xml:space="preserve"> per million Btu ("</w:t>
      </w:r>
      <w:r>
        <w:rPr>
          <w:rFonts w:cs="Arial" w:ascii="Arial" w:hAnsi="Arial"/>
          <w:sz w:val="18"/>
          <w:u w:val="single"/>
        </w:rPr>
        <w:t>lbs. SO</w:t>
      </w:r>
      <w:r>
        <w:rPr>
          <w:rFonts w:cs="Arial" w:ascii="Arial" w:hAnsi="Arial"/>
          <w:sz w:val="18"/>
          <w:u w:val="single"/>
          <w:vertAlign w:val="subscript"/>
        </w:rPr>
        <w:t>2</w:t>
      </w:r>
      <w:r>
        <w:rPr>
          <w:rFonts w:cs="Arial" w:ascii="Arial" w:hAnsi="Arial"/>
          <w:sz w:val="18"/>
          <w:u w:val="single"/>
        </w:rPr>
        <w:t>/mmBtu</w:t>
      </w:r>
      <w:r>
        <w:rPr>
          <w:rFonts w:cs="Arial" w:ascii="Arial" w:hAnsi="Arial"/>
          <w:sz w:val="18"/>
        </w:rPr>
        <w:t>") on an as-received basis of any shipment accepted by Buyer is other than the Base Shipment Average lbs. SO</w:t>
      </w:r>
      <w:r>
        <w:rPr>
          <w:rFonts w:cs="Arial" w:ascii="Arial" w:hAnsi="Arial"/>
          <w:sz w:val="18"/>
          <w:vertAlign w:val="subscript"/>
        </w:rPr>
        <w:t>2</w:t>
      </w:r>
      <w:r>
        <w:rPr>
          <w:rFonts w:cs="Arial" w:ascii="Arial" w:hAnsi="Arial"/>
          <w:sz w:val="18"/>
        </w:rPr>
        <w:t xml:space="preserve"> lbs./Ton as set forth below, Buyer shall calculate a premium or penalty based on the relevant number of SO</w:t>
      </w:r>
      <w:r>
        <w:rPr>
          <w:rFonts w:cs="Arial" w:ascii="Arial" w:hAnsi="Arial"/>
          <w:sz w:val="18"/>
          <w:vertAlign w:val="subscript"/>
        </w:rPr>
        <w:t>2</w:t>
      </w:r>
      <w:r>
        <w:rPr>
          <w:rFonts w:cs="Arial" w:ascii="Arial" w:hAnsi="Arial"/>
          <w:sz w:val="18"/>
        </w:rPr>
        <w:t xml:space="preserve"> Allowances (defined below) for each Shipment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tab/>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pPr>
      <w:r>
        <w:rPr>
          <w:rFonts w:cs="Arial" w:ascii="Arial" w:hAnsi="Arial"/>
          <w:sz w:val="18"/>
        </w:rPr>
        <w:t>The SO</w:t>
      </w:r>
      <w:r>
        <w:rPr>
          <w:rFonts w:cs="Arial" w:ascii="Arial" w:hAnsi="Arial"/>
          <w:sz w:val="18"/>
          <w:vertAlign w:val="subscript"/>
        </w:rPr>
        <w:t>2</w:t>
      </w:r>
      <w:r>
        <w:rPr>
          <w:rFonts w:cs="Arial" w:ascii="Arial" w:hAnsi="Arial"/>
          <w:sz w:val="18"/>
        </w:rPr>
        <w:t xml:space="preserve"> adjustment will be paid by delivery to Buyer or Seller of SO</w:t>
      </w:r>
      <w:r>
        <w:rPr>
          <w:rFonts w:cs="Arial" w:ascii="Arial" w:hAnsi="Arial"/>
          <w:sz w:val="18"/>
          <w:vertAlign w:val="subscript"/>
        </w:rPr>
        <w:t>2</w:t>
      </w:r>
      <w:r>
        <w:rPr>
          <w:rFonts w:cs="Arial" w:ascii="Arial" w:hAnsi="Arial"/>
          <w:sz w:val="18"/>
        </w:rPr>
        <w:t xml:space="preserve"> Allowances, such number being equal 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lineRule="auto" w:line="360"/>
        <w:ind w:firstLine="720" w:end="0"/>
        <w:rPr>
          <w:rFonts w:ascii="Arial" w:hAnsi="Arial" w:cs="Arial"/>
          <w:b/>
          <w:sz w:val="18"/>
        </w:rPr>
      </w:pPr>
      <w:r>
        <w:rPr>
          <w:rFonts w:cs="Arial" w:ascii="Arial" w:hAnsi="Arial"/>
          <w:b/>
          <w:sz w:val="18"/>
        </w:rPr>
      </w:r>
    </w:p>
    <w:p>
      <w:pPr>
        <w:pStyle w:val="Normal"/>
        <w:tabs>
          <w:tab w:val="clear" w:pos="720"/>
          <w:tab w:val="left" w:pos="-1080" w:leader="none"/>
          <w:tab w:val="left" w:pos="-720" w:leader="none"/>
          <w:tab w:val="left" w:pos="0" w:leader="none"/>
          <w:tab w:val="left" w:pos="54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450" w:end="0"/>
        <w:rPr>
          <w:rFonts w:ascii="Arial" w:hAnsi="Arial" w:cs="Arial"/>
          <w:b/>
          <w:sz w:val="18"/>
          <w:vertAlign w:val="subscript"/>
        </w:rPr>
      </w:pPr>
      <w:r>
        <w:rPr>
          <w:rFonts w:cs="Arial" w:ascii="Arial" w:hAnsi="Arial"/>
          <w:b/>
          <w:sz w:val="18"/>
        </w:rPr>
        <w:t>Number of SO</w:t>
      </w:r>
      <w:r>
        <w:rPr>
          <w:rFonts w:cs="Arial" w:ascii="Arial" w:hAnsi="Arial"/>
          <w:b/>
          <w:sz w:val="18"/>
          <w:vertAlign w:val="subscript"/>
        </w:rPr>
        <w:t>2</w:t>
      </w:r>
      <w:r>
        <w:rPr>
          <w:rFonts w:cs="Arial" w:ascii="Arial" w:hAnsi="Arial"/>
          <w:b/>
          <w:sz w:val="18"/>
        </w:rPr>
        <w:t xml:space="preserve"> </w:t>
        <w:tab/>
        <w:t>(Tons of Coal delivered) X</w:t>
      </w:r>
    </w:p>
    <w:p>
      <w:pPr>
        <w:pStyle w:val="Normal"/>
        <w:tabs>
          <w:tab w:val="clear" w:pos="720"/>
          <w:tab w:val="left" w:pos="-1080" w:leader="none"/>
          <w:tab w:val="left" w:pos="-720" w:leader="none"/>
          <w:tab w:val="left" w:pos="0" w:leader="none"/>
          <w:tab w:val="left" w:pos="540" w:leader="none"/>
          <w:tab w:val="left" w:pos="1800" w:leader="none"/>
          <w:tab w:val="left" w:pos="2340" w:leader="none"/>
          <w:tab w:val="left" w:pos="27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start="450" w:end="0"/>
        <w:rPr>
          <w:rFonts w:ascii="Arial" w:hAnsi="Arial" w:cs="Arial"/>
          <w:b/>
          <w:sz w:val="18"/>
        </w:rPr>
      </w:pPr>
      <w:r>
        <w:rPr>
          <w:rFonts w:cs="Arial" w:ascii="Arial" w:hAnsi="Arial"/>
          <w:b/>
          <w:sz w:val="18"/>
        </w:rPr>
        <w:t>Allowances  =</w:t>
        <w:tab/>
      </w:r>
      <w:r>
        <w:rPr>
          <w:rFonts w:cs="Arial" w:ascii="Arial" w:hAnsi="Arial"/>
          <w:b/>
          <w:sz w:val="18"/>
          <w:u w:val="single"/>
        </w:rPr>
        <w:t>[Actual Shipment Average lbs. SO2/Ton – Base Shipment Average lbs. SO</w:t>
      </w:r>
      <w:r>
        <w:rPr>
          <w:rFonts w:cs="Arial" w:ascii="Arial" w:hAnsi="Arial"/>
          <w:b/>
          <w:sz w:val="18"/>
          <w:u w:val="single"/>
          <w:vertAlign w:val="subscript"/>
        </w:rPr>
        <w:t>2</w:t>
      </w:r>
      <w:r>
        <w:rPr>
          <w:rFonts w:cs="Arial" w:ascii="Arial" w:hAnsi="Arial"/>
          <w:b/>
          <w:sz w:val="18"/>
          <w:u w:val="single"/>
        </w:rPr>
        <w:t>/Ton]</w:t>
      </w:r>
    </w:p>
    <w:p>
      <w:pPr>
        <w:pStyle w:val="Normal"/>
        <w:tabs>
          <w:tab w:val="left" w:pos="-1080" w:leader="none"/>
          <w:tab w:val="left" w:pos="-720" w:leader="none"/>
          <w:tab w:val="left" w:pos="0" w:leader="none"/>
          <w:tab w:val="left" w:pos="720" w:leader="none"/>
          <w:tab w:val="left" w:pos="2250" w:leader="none"/>
          <w:tab w:val="left" w:pos="2610" w:leader="none"/>
          <w:tab w:val="left" w:pos="5580" w:leader="none"/>
          <w:tab w:val="left" w:pos="5760" w:leader="none"/>
          <w:tab w:val="left" w:pos="6480" w:leader="none"/>
          <w:tab w:val="left" w:pos="7200" w:leader="none"/>
          <w:tab w:val="left" w:pos="7920" w:leader="none"/>
          <w:tab w:val="left" w:pos="8640" w:leader="none"/>
          <w:tab w:val="left" w:pos="9360" w:leader="none"/>
        </w:tabs>
        <w:ind w:start="720" w:end="0"/>
        <w:rPr>
          <w:rFonts w:ascii="Arial" w:hAnsi="Arial" w:cs="Arial"/>
          <w:sz w:val="18"/>
        </w:rPr>
      </w:pPr>
      <w:r>
        <w:rPr>
          <w:rFonts w:cs="Arial" w:ascii="Arial" w:hAnsi="Arial"/>
          <w:b/>
          <w:sz w:val="18"/>
        </w:rPr>
        <w:tab/>
        <w:tab/>
        <w:tab/>
        <w:t>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450" w:end="0"/>
        <w:rPr>
          <w:rFonts w:ascii="Arial" w:hAnsi="Arial" w:cs="Arial"/>
          <w:sz w:val="18"/>
        </w:rPr>
      </w:pPr>
      <w:r>
        <w:rPr>
          <w:rFonts w:cs="Arial" w:ascii="Arial" w:hAnsi="Arial"/>
          <w:sz w:val="18"/>
        </w:rPr>
        <w:t>Where:</w:t>
      </w:r>
    </w:p>
    <w:p>
      <w:pPr>
        <w:pStyle w:val="Normal"/>
        <w:tabs>
          <w:tab w:val="left" w:pos="-1080" w:leader="none"/>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r>
    </w:p>
    <w:p>
      <w:pPr>
        <w:pStyle w:val="Normal"/>
        <w:tabs>
          <w:tab w:val="left" w:pos="-1080" w:leader="none"/>
          <w:tab w:val="left" w:pos="-720" w:leader="none"/>
          <w:tab w:val="left" w:pos="0" w:leader="none"/>
          <w:tab w:val="left" w:pos="450" w:leader="none"/>
          <w:tab w:val="left" w:pos="720" w:leader="none"/>
          <w:tab w:val="left" w:pos="306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450" w:end="0"/>
        <w:rPr/>
      </w:pPr>
      <w:r>
        <w:rPr>
          <w:rFonts w:cs="Arial" w:ascii="Arial" w:hAnsi="Arial"/>
          <w:b/>
          <w:sz w:val="18"/>
        </w:rPr>
        <w:t>Actual Shipment Average lbs. SO</w:t>
      </w:r>
      <w:r>
        <w:rPr>
          <w:rFonts w:cs="Arial" w:ascii="Arial" w:hAnsi="Arial"/>
          <w:b/>
          <w:sz w:val="18"/>
          <w:vertAlign w:val="subscript"/>
        </w:rPr>
        <w:t>2</w:t>
      </w:r>
      <w:r>
        <w:rPr>
          <w:rFonts w:cs="Arial" w:ascii="Arial" w:hAnsi="Arial"/>
          <w:b/>
          <w:sz w:val="18"/>
        </w:rPr>
        <w:t>/Ton</w:t>
      </w:r>
      <w:r>
        <w:rPr>
          <w:rFonts w:cs="Arial" w:ascii="Arial" w:hAnsi="Arial"/>
          <w:sz w:val="18"/>
        </w:rPr>
        <w:t xml:space="preserve"> =</w:t>
        <w:tab/>
        <w:t>(</w:t>
      </w:r>
      <w:r>
        <w:rPr>
          <w:rFonts w:cs="Arial" w:ascii="Arial" w:hAnsi="Arial"/>
          <w:b/>
          <w:sz w:val="18"/>
          <w:u w:val="single"/>
        </w:rPr>
        <w:t>Actual lbs. SO</w:t>
      </w:r>
      <w:r>
        <w:rPr>
          <w:rFonts w:cs="Arial" w:ascii="Arial" w:hAnsi="Arial"/>
          <w:b/>
          <w:sz w:val="18"/>
          <w:u w:val="single"/>
          <w:vertAlign w:val="subscript"/>
        </w:rPr>
        <w:t>2</w:t>
      </w:r>
      <w:r>
        <w:rPr>
          <w:rFonts w:cs="Arial" w:ascii="Arial" w:hAnsi="Arial"/>
          <w:b/>
          <w:sz w:val="18"/>
          <w:u w:val="single"/>
        </w:rPr>
        <w:t>/MMBtu) X (Actual Btu/lb.)</w:t>
      </w:r>
    </w:p>
    <w:p>
      <w:pPr>
        <w:pStyle w:val="Normal"/>
        <w:tabs>
          <w:tab w:val="left" w:pos="-1080" w:leader="none"/>
          <w:tab w:val="left" w:pos="-720" w:leader="none"/>
          <w:tab w:val="left" w:pos="0" w:leader="none"/>
          <w:tab w:val="left" w:pos="450" w:leader="none"/>
          <w:tab w:val="left" w:pos="720" w:leader="none"/>
          <w:tab w:val="left" w:pos="306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450" w:end="0"/>
        <w:rPr>
          <w:rFonts w:ascii="Arial" w:hAnsi="Arial" w:cs="Arial"/>
          <w:b/>
          <w:sz w:val="18"/>
        </w:rPr>
      </w:pPr>
      <w:r>
        <w:rPr>
          <w:rFonts w:cs="Arial" w:ascii="Arial" w:hAnsi="Arial"/>
          <w:b/>
          <w:sz w:val="18"/>
        </w:rPr>
        <w:tab/>
        <w:tab/>
        <w:tab/>
        <w:tab/>
        <w:tab/>
        <w:t>500</w:t>
      </w:r>
    </w:p>
    <w:p>
      <w:pPr>
        <w:pStyle w:val="Normal"/>
        <w:tabs>
          <w:tab w:val="left" w:pos="-1080" w:leader="none"/>
          <w:tab w:val="left" w:pos="-720" w:leader="none"/>
          <w:tab w:val="left" w:pos="0" w:leader="none"/>
          <w:tab w:val="left" w:pos="450" w:leader="none"/>
          <w:tab w:val="left" w:pos="720" w:leader="none"/>
          <w:tab w:val="left" w:pos="306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450" w:end="0"/>
        <w:rPr>
          <w:rFonts w:ascii="Arial" w:hAnsi="Arial" w:cs="Arial"/>
          <w:b/>
          <w:sz w:val="18"/>
        </w:rPr>
      </w:pPr>
      <w:r>
        <w:rPr>
          <w:rFonts w:cs="Arial" w:ascii="Arial" w:hAnsi="Arial"/>
          <w:b/>
          <w:sz w:val="18"/>
        </w:rPr>
      </w:r>
    </w:p>
    <w:p>
      <w:pPr>
        <w:pStyle w:val="Normal"/>
        <w:numPr>
          <w:ilvl w:val="0"/>
          <w:numId w:val="0"/>
        </w:numPr>
        <w:tabs>
          <w:tab w:val="left" w:pos="-1080" w:leader="none"/>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450" w:end="0"/>
        <w:outlineLvl w:val="0"/>
        <w:rPr/>
      </w:pPr>
      <w:r>
        <w:rPr>
          <w:rFonts w:cs="Arial" w:ascii="Arial" w:hAnsi="Arial"/>
          <w:b/>
          <w:sz w:val="18"/>
        </w:rPr>
        <w:t>Base Shipment Average lbs. SO</w:t>
      </w:r>
      <w:r>
        <w:rPr>
          <w:rFonts w:cs="Arial" w:ascii="Arial" w:hAnsi="Arial"/>
          <w:b/>
          <w:sz w:val="18"/>
          <w:vertAlign w:val="subscript"/>
        </w:rPr>
        <w:t>2</w:t>
      </w:r>
      <w:r>
        <w:rPr>
          <w:rFonts w:cs="Arial" w:ascii="Arial" w:hAnsi="Arial"/>
          <w:b/>
          <w:sz w:val="18"/>
        </w:rPr>
        <w:t>/Ton</w:t>
      </w:r>
      <w:r>
        <w:rPr>
          <w:rFonts w:cs="Arial" w:ascii="Arial" w:hAnsi="Arial"/>
          <w:sz w:val="18"/>
        </w:rPr>
        <w:t xml:space="preserve"> =</w:t>
        <w:tab/>
        <w:t xml:space="preserve"> </w:t>
      </w:r>
      <w:r>
        <w:rPr>
          <w:rFonts w:cs="Arial" w:ascii="Arial" w:hAnsi="Arial"/>
          <w:b/>
          <w:sz w:val="18"/>
          <w:u w:val="single"/>
        </w:rPr>
        <w:t>(Base lbs./MMBtu) X (Base Btu/lb.</w:t>
      </w:r>
      <w:r>
        <w:rPr>
          <w:rFonts w:cs="Arial" w:ascii="Arial" w:hAnsi="Arial"/>
          <w:b/>
          <w:sz w:val="18"/>
        </w:rPr>
        <w:t>)</w:t>
      </w:r>
    </w:p>
    <w:p>
      <w:pPr>
        <w:pStyle w:val="Normal"/>
        <w:numPr>
          <w:ilvl w:val="0"/>
          <w:numId w:val="0"/>
        </w:numPr>
        <w:tabs>
          <w:tab w:val="left" w:pos="-1080" w:leader="none"/>
          <w:tab w:val="left" w:pos="-720" w:leader="none"/>
          <w:tab w:val="left" w:pos="0" w:leader="none"/>
          <w:tab w:val="left" w:pos="45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ind w:firstLine="720" w:end="0"/>
        <w:outlineLvl w:val="0"/>
        <w:rPr>
          <w:rFonts w:ascii="Arial" w:hAnsi="Arial" w:cs="Arial"/>
          <w:b/>
          <w:sz w:val="18"/>
        </w:rPr>
      </w:pPr>
      <w:r>
        <w:rPr>
          <w:rFonts w:cs="Arial" w:ascii="Arial" w:hAnsi="Arial"/>
          <w:b/>
          <w:sz w:val="18"/>
        </w:rPr>
        <w:tab/>
        <w:tab/>
        <w:tab/>
        <w:tab/>
        <w:tab/>
        <w:tab/>
        <w:tab/>
        <w:t>500</w:t>
        <w:tab/>
      </w:r>
    </w:p>
    <w:p>
      <w:pPr>
        <w:pStyle w:val="Normal"/>
        <w:tabs>
          <w:tab w:val="left" w:pos="-1080" w:leader="none"/>
          <w:tab w:val="left" w:pos="-720" w:leader="none"/>
          <w:tab w:val="left" w:pos="0" w:leader="none"/>
          <w:tab w:val="left" w:pos="360" w:leader="none"/>
          <w:tab w:val="left" w:pos="54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b/>
          <w:sz w:val="18"/>
        </w:rPr>
      </w:pPr>
      <w:r>
        <w:rPr>
          <w:rFonts w:cs="Arial" w:ascii="Arial" w:hAnsi="Arial"/>
          <w:b/>
          <w:sz w:val="18"/>
        </w:rPr>
      </w:r>
    </w:p>
    <w:p>
      <w:pPr>
        <w:pStyle w:val="Normal"/>
        <w:tabs>
          <w:tab w:val="left" w:pos="-1080" w:leader="none"/>
          <w:tab w:val="left" w:pos="-720" w:leader="none"/>
          <w:tab w:val="left" w:pos="0" w:leader="none"/>
          <w:tab w:val="left" w:pos="18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sz w:val="18"/>
        </w:rPr>
        <w:tab/>
        <w:tab/>
        <w:t>"</w:t>
      </w:r>
      <w:r>
        <w:rPr>
          <w:rFonts w:cs="Arial" w:ascii="Arial" w:hAnsi="Arial"/>
          <w:sz w:val="18"/>
          <w:u w:val="single"/>
        </w:rPr>
        <w:t>SO</w:t>
      </w:r>
      <w:r>
        <w:rPr>
          <w:rFonts w:cs="Arial" w:ascii="Arial" w:hAnsi="Arial"/>
          <w:sz w:val="18"/>
          <w:u w:val="single"/>
          <w:vertAlign w:val="subscript"/>
        </w:rPr>
        <w:t>2</w:t>
      </w:r>
      <w:r>
        <w:rPr>
          <w:rFonts w:cs="Arial" w:ascii="Arial" w:hAnsi="Arial"/>
          <w:sz w:val="18"/>
          <w:u w:val="single"/>
        </w:rPr>
        <w:t xml:space="preserve"> Allowance</w:t>
      </w:r>
      <w:r>
        <w:rPr>
          <w:rFonts w:cs="Arial" w:ascii="Arial" w:hAnsi="Arial"/>
          <w:sz w:val="18"/>
        </w:rPr>
        <w:t>" means an authorization by the administrator of the United States Environmental Protection Agency (or its successor) ("</w:t>
      </w:r>
      <w:r>
        <w:rPr>
          <w:rFonts w:cs="Arial" w:ascii="Arial" w:hAnsi="Arial"/>
          <w:sz w:val="18"/>
          <w:u w:val="single"/>
        </w:rPr>
        <w:t>EPA</w:t>
      </w:r>
      <w:r>
        <w:rPr>
          <w:rFonts w:cs="Arial" w:ascii="Arial" w:hAnsi="Arial"/>
          <w:sz w:val="18"/>
        </w:rPr>
        <w:t>") under Title IV of the Clean Air Act Amendments of 1990 (effective November 15, 1990), any amendments thereto and any regulations promulgated thereunder, to emit one Ton of SO</w:t>
      </w:r>
      <w:r>
        <w:rPr>
          <w:rFonts w:cs="Arial" w:ascii="Arial" w:hAnsi="Arial"/>
          <w:sz w:val="18"/>
          <w:vertAlign w:val="subscript"/>
        </w:rPr>
        <w:t>2</w:t>
      </w:r>
      <w:r>
        <w:rPr>
          <w:rFonts w:cs="Arial" w:ascii="Arial" w:hAnsi="Arial"/>
          <w:sz w:val="18"/>
        </w:rPr>
        <w:t xml:space="preserve"> during the current calendar year.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rPr>
          <w:rFonts w:ascii="Arial" w:hAnsi="Arial" w:cs="Arial"/>
          <w:sz w:val="18"/>
        </w:rPr>
      </w:pPr>
      <w:r>
        <w:rPr>
          <w:rFonts w:cs="Arial" w:ascii="Arial" w:hAnsi="Arial"/>
          <w:sz w:val="18"/>
        </w:rPr>
      </w:r>
    </w:p>
    <w:p>
      <w:pPr>
        <w:pStyle w:val="Norma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sz w:val="18"/>
        </w:rPr>
        <w:tab/>
        <w:tab/>
        <w:t>If the product of the above is negative, Buyer shall transfer SO</w:t>
      </w:r>
      <w:r>
        <w:rPr>
          <w:rFonts w:cs="Arial" w:ascii="Arial" w:hAnsi="Arial"/>
          <w:sz w:val="18"/>
          <w:vertAlign w:val="subscript"/>
        </w:rPr>
        <w:t>2</w:t>
      </w:r>
      <w:r>
        <w:rPr>
          <w:rFonts w:cs="Arial" w:ascii="Arial" w:hAnsi="Arial"/>
          <w:sz w:val="18"/>
        </w:rPr>
        <w:t xml:space="preserve"> Allowances to Seller, and if the product of the above is positive, Seller shall transfer SO</w:t>
      </w:r>
      <w:r>
        <w:rPr>
          <w:rFonts w:cs="Arial" w:ascii="Arial" w:hAnsi="Arial"/>
          <w:sz w:val="18"/>
          <w:vertAlign w:val="subscript"/>
        </w:rPr>
        <w:t>2</w:t>
      </w:r>
      <w:r>
        <w:rPr>
          <w:rFonts w:cs="Arial" w:ascii="Arial" w:hAnsi="Arial"/>
          <w:sz w:val="18"/>
        </w:rPr>
        <w:t xml:space="preserve"> Allowances to Buyer. SO</w:t>
      </w:r>
      <w:r>
        <w:rPr>
          <w:rFonts w:cs="Arial" w:ascii="Arial" w:hAnsi="Arial"/>
          <w:sz w:val="18"/>
          <w:vertAlign w:val="subscript"/>
        </w:rPr>
        <w:t xml:space="preserve">2 </w:t>
      </w:r>
      <w:r>
        <w:rPr>
          <w:rFonts w:cs="Arial" w:ascii="Arial" w:hAnsi="Arial"/>
          <w:sz w:val="18"/>
        </w:rPr>
        <w:t>Allowances due to Buyer or Seller hereunder shall be transferred to such party at the end of the Delivery Term.  However, either Buyer or Seller may request that such SO</w:t>
      </w:r>
      <w:r>
        <w:rPr>
          <w:rFonts w:cs="Arial" w:ascii="Arial" w:hAnsi="Arial"/>
          <w:sz w:val="18"/>
          <w:vertAlign w:val="subscript"/>
        </w:rPr>
        <w:t>2</w:t>
      </w:r>
      <w:r>
        <w:rPr>
          <w:rFonts w:cs="Arial" w:ascii="Arial" w:hAnsi="Arial"/>
          <w:sz w:val="18"/>
        </w:rPr>
        <w:t xml:space="preserve"> Allowances be transferred on a monthly basis.  Fractional SO</w:t>
      </w:r>
      <w:r>
        <w:rPr>
          <w:rFonts w:cs="Arial" w:ascii="Arial" w:hAnsi="Arial"/>
          <w:sz w:val="18"/>
          <w:vertAlign w:val="subscript"/>
        </w:rPr>
        <w:t xml:space="preserve">2 </w:t>
      </w:r>
      <w:r>
        <w:rPr>
          <w:rFonts w:cs="Arial" w:ascii="Arial" w:hAnsi="Arial"/>
          <w:sz w:val="18"/>
        </w:rPr>
        <w:t>Allowances resulting from the monthly calculations shall be rounded to the nearest whole SO</w:t>
      </w:r>
      <w:r>
        <w:rPr>
          <w:rFonts w:cs="Arial" w:ascii="Arial" w:hAnsi="Arial"/>
          <w:sz w:val="18"/>
          <w:vertAlign w:val="subscript"/>
        </w:rPr>
        <w:t xml:space="preserve">2 </w:t>
      </w:r>
      <w:r>
        <w:rPr>
          <w:rFonts w:cs="Arial" w:ascii="Arial" w:hAnsi="Arial"/>
          <w:sz w:val="18"/>
        </w:rPr>
        <w:t>Allowance.</w:t>
      </w:r>
    </w:p>
    <w:p>
      <w:pPr>
        <w:pStyle w:val="Normal"/>
        <w:tabs>
          <w:tab w:val="left" w:pos="-1080" w:leader="none"/>
          <w:tab w:val="left" w:pos="-720" w:leader="none"/>
          <w:tab w:val="left" w:pos="54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spacing w:before="120" w:after="0"/>
        <w:jc w:val="both"/>
        <w:rPr/>
      </w:pPr>
      <w:r>
        <w:rPr>
          <w:rFonts w:cs="Arial" w:ascii="Arial" w:hAnsi="Arial"/>
          <w:sz w:val="18"/>
        </w:rPr>
        <w:tab/>
        <w:tab/>
        <w:t>Within 10 Days after receipt of the quarterly Invoice specifying the number of SO</w:t>
      </w:r>
      <w:r>
        <w:rPr>
          <w:rFonts w:cs="Arial" w:ascii="Arial" w:hAnsi="Arial"/>
          <w:sz w:val="18"/>
          <w:vertAlign w:val="subscript"/>
        </w:rPr>
        <w:t>2</w:t>
      </w:r>
      <w:r>
        <w:rPr>
          <w:rFonts w:cs="Arial" w:ascii="Arial" w:hAnsi="Arial"/>
          <w:sz w:val="18"/>
        </w:rPr>
        <w:t xml:space="preserve"> Allowances required to be transferred, the party transferring the SO</w:t>
      </w:r>
      <w:r>
        <w:rPr>
          <w:rFonts w:cs="Arial" w:ascii="Arial" w:hAnsi="Arial"/>
          <w:sz w:val="18"/>
          <w:vertAlign w:val="subscript"/>
        </w:rPr>
        <w:t>2</w:t>
      </w:r>
      <w:r>
        <w:rPr>
          <w:rFonts w:cs="Arial" w:ascii="Arial" w:hAnsi="Arial"/>
          <w:sz w:val="18"/>
        </w:rPr>
        <w:t xml:space="preserve"> Allowances shall deliver a fully executed Allowance Transfer Form (OMB No. 2060-0258) ("</w:t>
      </w:r>
      <w:r>
        <w:rPr>
          <w:rFonts w:cs="Arial" w:ascii="Arial" w:hAnsi="Arial"/>
          <w:sz w:val="18"/>
          <w:u w:val="single"/>
        </w:rPr>
        <w:t>ATF</w:t>
      </w:r>
      <w:r>
        <w:rPr>
          <w:rFonts w:cs="Arial" w:ascii="Arial" w:hAnsi="Arial"/>
          <w:sz w:val="18"/>
        </w:rPr>
        <w:t>") relating to such SO</w:t>
      </w:r>
      <w:r>
        <w:rPr>
          <w:rFonts w:cs="Arial" w:ascii="Arial" w:hAnsi="Arial"/>
          <w:sz w:val="18"/>
          <w:vertAlign w:val="subscript"/>
        </w:rPr>
        <w:t>2</w:t>
      </w:r>
      <w:r>
        <w:rPr>
          <w:rFonts w:cs="Arial" w:ascii="Arial" w:hAnsi="Arial"/>
          <w:sz w:val="18"/>
        </w:rPr>
        <w:t xml:space="preserve"> Allowances to the party entitled to receive the SO</w:t>
      </w:r>
      <w:r>
        <w:rPr>
          <w:rFonts w:cs="Arial" w:ascii="Arial" w:hAnsi="Arial"/>
          <w:sz w:val="18"/>
          <w:vertAlign w:val="subscript"/>
        </w:rPr>
        <w:t>2</w:t>
      </w:r>
      <w:r>
        <w:rPr>
          <w:rFonts w:cs="Arial" w:ascii="Arial" w:hAnsi="Arial"/>
          <w:sz w:val="18"/>
        </w:rPr>
        <w:t xml:space="preserve"> Allowances.  The party transferring the SO</w:t>
      </w:r>
      <w:r>
        <w:rPr>
          <w:rFonts w:cs="Arial" w:ascii="Arial" w:hAnsi="Arial"/>
          <w:sz w:val="18"/>
          <w:vertAlign w:val="subscript"/>
        </w:rPr>
        <w:t>2</w:t>
      </w:r>
      <w:r>
        <w:rPr>
          <w:rFonts w:cs="Arial" w:ascii="Arial" w:hAnsi="Arial"/>
          <w:sz w:val="18"/>
        </w:rPr>
        <w:t xml:space="preserve"> Allowances shall promptly cause all appropriate and fully completed SO</w:t>
      </w:r>
      <w:r>
        <w:rPr>
          <w:rFonts w:cs="Arial" w:ascii="Arial" w:hAnsi="Arial"/>
          <w:sz w:val="18"/>
          <w:vertAlign w:val="subscript"/>
        </w:rPr>
        <w:t>2</w:t>
      </w:r>
      <w:r>
        <w:rPr>
          <w:rFonts w:cs="Arial" w:ascii="Arial" w:hAnsi="Arial"/>
          <w:sz w:val="18"/>
        </w:rPr>
        <w:t xml:space="preserve"> Allowance transfer documentation to be placed on file with the EPA in accordance with the applicable regulations relating to the Allowance Tracking System.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sz w:val="18"/>
        </w:rPr>
      </w:pPr>
      <w:r>
        <w:rPr>
          <w:rFonts w:cs="Arial" w:ascii="Arial" w:hAnsi="Arial"/>
          <w:sz w:val="18"/>
        </w:rPr>
      </w:r>
    </w:p>
    <w:p>
      <w:pPr>
        <w:pStyle w:val="Normal"/>
        <w:tabs>
          <w:tab w:val="left" w:pos="-1080" w:leader="none"/>
          <w:tab w:val="left" w:pos="-720" w:leader="none"/>
          <w:tab w:val="left" w:pos="27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sz w:val="18"/>
        </w:rPr>
        <w:tab/>
        <w:tab/>
        <w:t>The party transferring the SO</w:t>
      </w:r>
      <w:r>
        <w:rPr>
          <w:rFonts w:cs="Arial" w:ascii="Arial" w:hAnsi="Arial"/>
          <w:sz w:val="18"/>
          <w:vertAlign w:val="subscript"/>
        </w:rPr>
        <w:t>2</w:t>
      </w:r>
      <w:r>
        <w:rPr>
          <w:rFonts w:cs="Arial" w:ascii="Arial" w:hAnsi="Arial"/>
          <w:sz w:val="18"/>
        </w:rPr>
        <w:t xml:space="preserve"> Allowances warrants that it will deliver to the party entitled to receive the SO</w:t>
      </w:r>
      <w:r>
        <w:rPr>
          <w:rFonts w:cs="Arial" w:ascii="Arial" w:hAnsi="Arial"/>
          <w:sz w:val="18"/>
          <w:vertAlign w:val="subscript"/>
        </w:rPr>
        <w:t>2</w:t>
      </w:r>
      <w:r>
        <w:rPr>
          <w:rFonts w:cs="Arial" w:ascii="Arial" w:hAnsi="Arial"/>
          <w:sz w:val="18"/>
        </w:rPr>
        <w:t xml:space="preserve"> Allowances, the SO</w:t>
      </w:r>
      <w:r>
        <w:rPr>
          <w:rFonts w:cs="Arial" w:ascii="Arial" w:hAnsi="Arial"/>
          <w:sz w:val="18"/>
          <w:vertAlign w:val="subscript"/>
        </w:rPr>
        <w:t>2</w:t>
      </w:r>
      <w:r>
        <w:rPr>
          <w:rFonts w:cs="Arial" w:ascii="Arial" w:hAnsi="Arial"/>
          <w:sz w:val="18"/>
        </w:rPr>
        <w:t xml:space="preserve"> Allowances, free and clear of all liens, claims, security interests, encumbrances and other defects of title.  </w:t>
      </w:r>
      <w:r>
        <w:rPr>
          <w:rFonts w:cs="Arial" w:ascii="Arial" w:hAnsi="Arial"/>
          <w:smallCaps/>
          <w:sz w:val="18"/>
        </w:rPr>
        <w:t>Each Party expressly negates any other representation or warranty, written or oral, express or implied, including without limitation, any representation or warranty with respect to conformity to models or samples, merchantability, or fitness for any particular purpose</w:t>
      </w:r>
      <w:r>
        <w:rPr>
          <w:rFonts w:cs="Arial" w:ascii="Arial" w:hAnsi="Arial"/>
          <w:sz w:val="18"/>
        </w:rPr>
        <w:t>.</w:t>
      </w:r>
    </w:p>
    <w:p>
      <w:pPr>
        <w:pStyle w:val="Normal"/>
        <w:tabs>
          <w:tab w:val="clear" w:pos="720"/>
          <w:tab w:val="left" w:pos="-1080" w:leader="none"/>
          <w:tab w:val="left" w:pos="-720" w:leader="none"/>
          <w:tab w:val="left" w:pos="0" w:leader="none"/>
          <w:tab w:val="left" w:pos="27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rFonts w:ascii="Arial" w:hAnsi="Arial" w:cs="Arial"/>
          <w:sz w:val="18"/>
        </w:rPr>
      </w:pPr>
      <w:r>
        <w:rPr>
          <w:rFonts w:cs="Arial" w:ascii="Arial" w:hAnsi="Arial"/>
          <w:sz w:val="18"/>
        </w:rPr>
      </w:r>
    </w:p>
    <w:p>
      <w:pPr>
        <w:pStyle w:val="Normal"/>
        <w:tabs>
          <w:tab w:val="left" w:pos="-1080" w:leader="none"/>
          <w:tab w:val="left" w:pos="-720" w:leader="none"/>
          <w:tab w:val="left" w:pos="27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jc w:val="both"/>
        <w:rPr/>
      </w:pPr>
      <w:r>
        <w:rPr>
          <w:rFonts w:cs="Arial" w:ascii="Arial" w:hAnsi="Arial"/>
          <w:sz w:val="18"/>
        </w:rPr>
        <w:tab/>
        <w:tab/>
        <w:t>Each Party shall be responsible for any taxes or other fees associated with its respective delivery and receipt of such SO</w:t>
      </w:r>
      <w:r>
        <w:rPr>
          <w:rFonts w:cs="Arial" w:ascii="Arial" w:hAnsi="Arial"/>
          <w:sz w:val="18"/>
          <w:vertAlign w:val="subscript"/>
        </w:rPr>
        <w:t>2</w:t>
      </w:r>
      <w:r>
        <w:rPr>
          <w:rFonts w:cs="Arial" w:ascii="Arial" w:hAnsi="Arial"/>
          <w:sz w:val="18"/>
        </w:rPr>
        <w:t xml:space="preserve"> Allowances.</w:t>
      </w:r>
    </w:p>
    <w:p>
      <w:pPr>
        <w:pStyle w:val="Normal"/>
        <w:jc w:val="both"/>
        <w:rPr>
          <w:rFonts w:ascii="Arial" w:hAnsi="Arial" w:cs="Arial"/>
          <w:sz w:val="18"/>
        </w:rPr>
      </w:pPr>
      <w:r>
        <w:rPr>
          <w:rFonts w:cs="Arial" w:ascii="Arial" w:hAnsi="Arial"/>
          <w:sz w:val="18"/>
        </w:rPr>
      </w:r>
    </w:p>
    <w:p>
      <w:pPr>
        <w:pStyle w:val="Heading5"/>
        <w:ind w:hanging="0" w:start="0"/>
        <w:rPr/>
      </w:pPr>
      <w:r>
        <w:rPr/>
        <w:t>Credit Related Provisions</w:t>
      </w:r>
    </w:p>
    <w:p>
      <w:pPr>
        <w:pStyle w:val="Normal"/>
        <w:rPr>
          <w:rFonts w:ascii="Arial" w:hAnsi="Arial" w:cs="Arial"/>
          <w:sz w:val="18"/>
          <w:u w:val="single"/>
        </w:rPr>
      </w:pPr>
      <w:r>
        <w:rPr>
          <w:rFonts w:cs="Arial" w:ascii="Arial" w:hAnsi="Arial"/>
          <w:sz w:val="18"/>
          <w:u w:val="single"/>
        </w:rPr>
      </w:r>
    </w:p>
    <w:p>
      <w:pPr>
        <w:pStyle w:val="Normal"/>
        <w:jc w:val="both"/>
        <w:rPr>
          <w:rFonts w:ascii="Arial" w:hAnsi="Arial" w:cs="Arial"/>
          <w:sz w:val="18"/>
        </w:rPr>
      </w:pPr>
      <w:r>
        <w:rPr>
          <w:rFonts w:cs="Arial" w:ascii="Arial" w:hAnsi="Arial"/>
          <w:sz w:val="18"/>
        </w:rPr>
        <w:t>(A)</w:t>
      </w:r>
      <w:r>
        <w:rPr>
          <w:rFonts w:cs="Arial" w:ascii="Arial" w:hAnsi="Arial"/>
          <w:sz w:val="18"/>
          <w:u w:val="single"/>
        </w:rPr>
        <w:t xml:space="preserve"> EPMI Credit Protection: </w:t>
      </w:r>
      <w:r>
        <w:rPr>
          <w:rFonts w:cs="Arial" w:ascii="Arial" w:hAnsi="Arial"/>
          <w:sz w:val="18"/>
        </w:rPr>
        <w:t xml:space="preserve"> In order to secure First Energy’s obligations under this Transaction, First Energy shall provide or cause to be provided an unconditional irrevocable guarantee from First Energy Corp. in favor of EPMI in the amount of Ten Million U.S. Dollars ($10,000,000.00) which shall be in the form attached hereto as Exhibit A.  Such Guarantee shall be provided to EPMI concurrently with the execution of this Confirmation. </w:t>
      </w:r>
      <w:r>
        <w:rPr>
          <w:rFonts w:cs="Arial" w:ascii="Arial" w:hAnsi="Arial"/>
          <w:color w:val="000000"/>
          <w:sz w:val="18"/>
        </w:rPr>
        <w:t>First Energy’s failure to provide such Guarantee and/or cause such Guarantee to remain in place throughout the entire Delivery Term of the Transaction shall constitute an additional Event of Default under Section 4 of Annex A attached hereto.</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(B)</w:t>
      </w:r>
      <w:r>
        <w:rPr>
          <w:rFonts w:cs="Arial" w:ascii="Arial" w:hAnsi="Arial"/>
          <w:sz w:val="18"/>
          <w:u w:val="single"/>
        </w:rPr>
        <w:t xml:space="preserve"> First Energy Credit Protection: </w:t>
      </w:r>
      <w:r>
        <w:rPr>
          <w:rFonts w:cs="Arial" w:ascii="Arial" w:hAnsi="Arial"/>
          <w:sz w:val="18"/>
        </w:rPr>
        <w:t xml:space="preserve"> In order to secure EPMI’s obligations under this Transaction, EPMI shall provide or cause to be provided an unconditional irrevocable guarantee from Enron Corp. in favor of First Energy in the amount of Ten Million U.S. Dollars ($10,000,000.00) which shall be in the form attached hereto as Exhibit B.  Such Guarantee shall be provided to First Energy concurrently with the execution of this Confirmation.  </w:t>
      </w:r>
      <w:r>
        <w:rPr>
          <w:rFonts w:cs="Arial" w:ascii="Arial" w:hAnsi="Arial"/>
          <w:color w:val="000000"/>
          <w:sz w:val="18"/>
        </w:rPr>
        <w:t>EPMI’s failure to provide such Guarantee and/or cause such Guarantee to remain in place throughout the entire Delivery Term of the Transaction shall constitute an additional Event of Default under Section 4 of Annex A attached hereto.</w:t>
      </w:r>
      <w:r>
        <w:br w:type="page"/>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
          <w:bCs/>
          <w:sz w:val="18"/>
          <w:u w:val="single"/>
        </w:rPr>
      </w:pPr>
      <w:r>
        <w:rPr>
          <w:rFonts w:cs="Arial" w:ascii="Arial" w:hAnsi="Arial"/>
          <w:b/>
          <w:bCs/>
          <w:sz w:val="18"/>
          <w:u w:val="single"/>
        </w:rPr>
        <w:t>General Terms and Conditions of the Transaction</w:t>
      </w:r>
    </w:p>
    <w:p>
      <w:pPr>
        <w:pStyle w:val="Normal"/>
        <w:jc w:val="both"/>
        <w:rPr>
          <w:rFonts w:ascii="Arial" w:hAnsi="Arial" w:cs="Arial"/>
          <w:sz w:val="18"/>
        </w:rPr>
      </w:pPr>
      <w:r>
        <w:rPr>
          <w:rFonts w:cs="Arial" w:ascii="Arial" w:hAnsi="Arial"/>
          <w:sz w:val="18"/>
        </w:rPr>
        <w:tab/>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The terms set out in this Confirmation and the general terms &amp; conditions contained in “</w:t>
      </w:r>
      <w:r>
        <w:rPr>
          <w:rFonts w:cs="Arial" w:ascii="Arial" w:hAnsi="Arial"/>
          <w:sz w:val="18"/>
          <w:u w:val="single"/>
        </w:rPr>
        <w:t>Annex A</w:t>
      </w:r>
      <w:r>
        <w:rPr>
          <w:rFonts w:cs="Arial" w:ascii="Arial" w:hAnsi="Arial"/>
          <w:sz w:val="18"/>
        </w:rPr>
        <w:t>” attached to this Confirmation and made a part hereof apply and are incorporated herein by reference.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BodyText2"/>
        <w:keepNext w:val="true"/>
        <w:keepLines/>
        <w:tabs>
          <w:tab w:val="clear" w:pos="720"/>
          <w:tab w:val="left" w:pos="5040" w:leader="none"/>
          <w:tab w:val="left" w:pos="5760" w:leader="none"/>
          <w:tab w:val="left" w:pos="6480" w:leader="none"/>
        </w:tabs>
        <w:rPr/>
      </w:pPr>
      <w:r>
        <w:rPr/>
        <w:t>If this Confirmation correctly sets forth the terms and conditions of this Transaction that we have entered into, please promptly confirm in a reply to us by signing below and sending this Confirmation (or a copy hereof) to us by fax to (713) 646-2491 within three (3) Business Days of receipt of this Confirmation.  If Counterparty objects to any differences between the binding agreement of the parties regarding this Transaction and the contents of this Confirmation, Counterparty must notify EPMI of its objections in writing by fax to (713) 646-2491 within such time period. If Counterparty fails to so reply or object within such time period, such objections shall be deemed waived and the terms of this Confirmation will become final and conclusive evidence of all the terms of the binding agreement regarding this Transaction.  Any other terms and conditions are objected to and shall not be binding upon EPMI.  This Confirmation supersedes and replaces any broker confirmation(s) regarding this Transaction to the extent of any irreconcilable conflict.  If Counterparty notifies EPMI of additional or different terms from those set forth here, those terms shall be construed only as proposals for amendments to this Transaction and shall not become part hereof unless expressly agreed to by EPMI in a supplemental written confirmation.</w:t>
      </w:r>
    </w:p>
    <w:p>
      <w:pPr>
        <w:pStyle w:val="BodyText2"/>
        <w:keepNext w:val="true"/>
        <w:keepLines/>
        <w:tabs>
          <w:tab w:val="clear" w:pos="720"/>
          <w:tab w:val="left" w:pos="5040" w:leader="none"/>
          <w:tab w:val="left" w:pos="5760" w:leader="none"/>
          <w:tab w:val="left" w:pos="6480" w:leader="none"/>
        </w:tabs>
        <w:rPr/>
      </w:pPr>
      <w:r>
        <w:rPr/>
      </w:r>
    </w:p>
    <w:p>
      <w:pPr>
        <w:pStyle w:val="BodyText2"/>
        <w:keepNext w:val="true"/>
        <w:keepLines/>
        <w:tabs>
          <w:tab w:val="clear" w:pos="720"/>
          <w:tab w:val="left" w:pos="5040" w:leader="none"/>
          <w:tab w:val="left" w:pos="5760" w:leader="none"/>
          <w:tab w:val="left" w:pos="6480" w:leader="none"/>
        </w:tabs>
        <w:rPr/>
      </w:pPr>
      <w:r>
        <w:rPr/>
      </w:r>
    </w:p>
    <w:p>
      <w:pPr>
        <w:pStyle w:val="Normal"/>
        <w:keepNext w:val="true"/>
        <w:keepLines/>
        <w:tabs>
          <w:tab w:val="clear" w:pos="720"/>
          <w:tab w:val="left" w:pos="5040" w:leader="none"/>
          <w:tab w:val="left" w:pos="5760" w:leader="none"/>
          <w:tab w:val="left" w:pos="6480" w:leader="none"/>
        </w:tabs>
        <w:rPr>
          <w:rFonts w:ascii="Arial" w:hAnsi="Arial" w:cs="Arial"/>
          <w:sz w:val="18"/>
        </w:rPr>
      </w:pPr>
      <w:r>
        <w:rPr>
          <w:rFonts w:cs="Arial" w:ascii="Arial" w:hAnsi="Arial"/>
          <w:sz w:val="18"/>
        </w:rPr>
        <w:t>FIRST ENERGY FUEL MARKETING INC.</w:t>
        <w:tab/>
        <w:t>ENRON POWER MARKETING, INC.</w:t>
      </w:r>
    </w:p>
    <w:p>
      <w:pPr>
        <w:pStyle w:val="Normal"/>
        <w:keepNext w:val="true"/>
        <w:keepLines/>
        <w:tabs>
          <w:tab w:val="clear" w:pos="720"/>
          <w:tab w:val="left" w:pos="5040" w:leader="none"/>
          <w:tab w:val="left" w:pos="5760" w:leader="none"/>
          <w:tab w:val="left" w:pos="6480" w:leader="none"/>
        </w:tabs>
        <w:ind w:start="90" w:end="0"/>
        <w:rPr>
          <w:rFonts w:ascii="Arial" w:hAnsi="Arial" w:cs="Arial"/>
          <w:sz w:val="18"/>
        </w:rPr>
      </w:pPr>
      <w:r>
        <w:rPr>
          <w:rFonts w:cs="Arial" w:ascii="Arial" w:hAnsi="Arial"/>
          <w:sz w:val="18"/>
        </w:rPr>
      </w:r>
    </w:p>
    <w:p>
      <w:pPr>
        <w:pStyle w:val="Normal"/>
        <w:keepNext w:val="true"/>
        <w:keepLines/>
        <w:tabs>
          <w:tab w:val="clear" w:pos="720"/>
          <w:tab w:val="left" w:pos="5040" w:leader="none"/>
          <w:tab w:val="left" w:pos="5760" w:leader="none"/>
          <w:tab w:val="left" w:pos="6480" w:leader="none"/>
        </w:tabs>
        <w:ind w:start="90" w:end="0"/>
        <w:rPr>
          <w:rFonts w:ascii="Arial" w:hAnsi="Arial" w:cs="Arial"/>
          <w:sz w:val="18"/>
        </w:rPr>
      </w:pPr>
      <w:r>
        <w:rPr>
          <w:rFonts w:cs="Arial" w:ascii="Arial" w:hAnsi="Arial"/>
          <w:sz w:val="18"/>
        </w:rPr>
      </w:r>
    </w:p>
    <w:p>
      <w:pPr>
        <w:pStyle w:val="Normal"/>
        <w:keepNext w:val="true"/>
        <w:keepLines/>
        <w:ind w:end="220"/>
        <w:jc w:val="both"/>
        <w:rPr/>
      </w:pPr>
      <w:r>
        <w:rPr>
          <w:rFonts w:cs="Arial" w:ascii="Arial" w:hAnsi="Arial"/>
          <w:sz w:val="18"/>
        </w:rPr>
        <w:t xml:space="preserve">By:  </w:t>
      </w:r>
      <w:r>
        <w:rPr>
          <w:rFonts w:cs="Arial" w:ascii="Arial" w:hAnsi="Arial"/>
          <w:sz w:val="18"/>
          <w:u w:val="single"/>
        </w:rPr>
        <w:tab/>
        <w:tab/>
        <w:tab/>
        <w:tab/>
        <w:tab/>
        <w:tab/>
      </w:r>
      <w:r>
        <w:rPr>
          <w:rFonts w:cs="Arial" w:ascii="Arial" w:hAnsi="Arial"/>
          <w:sz w:val="18"/>
        </w:rPr>
        <w:tab/>
        <w:t xml:space="preserve">By:  </w:t>
      </w:r>
      <w:r>
        <w:rPr>
          <w:rFonts w:cs="Arial" w:ascii="Arial" w:hAnsi="Arial"/>
          <w:sz w:val="18"/>
          <w:u w:val="single"/>
        </w:rPr>
        <w:tab/>
        <w:tab/>
        <w:tab/>
        <w:tab/>
        <w:tab/>
        <w:tab/>
      </w:r>
    </w:p>
    <w:p>
      <w:pPr>
        <w:pStyle w:val="BodyText2"/>
        <w:keepNext w:val="true"/>
        <w:keepLines/>
        <w:tabs>
          <w:tab w:val="clear" w:pos="720"/>
          <w:tab w:val="left" w:pos="5040" w:leader="none"/>
          <w:tab w:val="left" w:pos="5760" w:leader="none"/>
          <w:tab w:val="left" w:pos="6480" w:leader="none"/>
          <w:tab w:val="center" w:pos="9540" w:leader="none"/>
        </w:tabs>
        <w:rPr/>
      </w:pPr>
      <w:r>
        <w:rPr/>
        <w:t>Name:  _____________________________________</w:t>
        <w:tab/>
        <w:t>Name:  _____________________________________</w:t>
      </w:r>
    </w:p>
    <w:p>
      <w:pPr>
        <w:pStyle w:val="BodyText3"/>
        <w:rPr/>
      </w:pPr>
      <w:r>
        <w:rPr/>
        <w:t>Title:    _____________________________________</w:t>
        <w:tab/>
        <w:t>Title:    ______________________________________</w:t>
      </w:r>
      <w:r>
        <w:br w:type="page"/>
      </w:r>
    </w:p>
    <w:p>
      <w:pPr>
        <w:pStyle w:val="Normal"/>
        <w:rPr/>
      </w:pPr>
      <w:r>
        <w:rPr/>
      </w:r>
    </w:p>
    <w:tbl>
      <w:tblPr>
        <w:tblW w:w="5058" w:type="dxa"/>
        <w:jc w:val="start"/>
        <w:tblInd w:w="0" w:type="dxa"/>
        <w:tblLayout w:type="fixed"/>
        <w:tblCellMar>
          <w:top w:w="0" w:type="dxa"/>
          <w:start w:w="108" w:type="dxa"/>
          <w:bottom w:w="0" w:type="dxa"/>
          <w:end w:w="108" w:type="dxa"/>
        </w:tblCellMar>
      </w:tblPr>
      <w:tblGrid>
        <w:gridCol w:w="5058"/>
      </w:tblGrid>
      <w:tr>
        <w:trPr/>
        <w:tc>
          <w:tcPr>
            <w:tcW w:w="5058" w:type="dxa"/>
            <w:tcBorders/>
          </w:tcPr>
          <w:p>
            <w:pPr>
              <w:pStyle w:val="Normal"/>
              <w:keepNext w:val="true"/>
              <w:keepLines/>
              <w:snapToGrid w:val="false"/>
              <w:rPr>
                <w:rFonts w:ascii="Arial" w:hAnsi="Arial" w:cs="Arial"/>
                <w:sz w:val="18"/>
              </w:rPr>
            </w:pPr>
            <w:r>
              <w:rPr>
                <w:rFonts w:cs="Arial" w:ascii="Arial" w:hAnsi="Arial"/>
                <w:sz w:val="18"/>
              </w:rPr>
            </w:r>
          </w:p>
        </w:tc>
      </w:tr>
    </w:tbl>
    <w:p>
      <w:pPr>
        <w:pStyle w:val="Heading7"/>
        <w:ind w:hanging="0" w:start="0"/>
        <w:rPr>
          <w:rFonts w:ascii="Times New Roman" w:hAnsi="Times New Roman" w:cs="Times New Roman"/>
          <w:sz w:val="28"/>
        </w:rPr>
      </w:pPr>
      <w:r>
        <w:rPr>
          <w:rFonts w:cs="Times New Roman" w:ascii="Times New Roman" w:hAnsi="Times New Roman"/>
          <w:sz w:val="28"/>
        </w:rPr>
        <w:t>EXHIBIT A</w:t>
      </w:r>
    </w:p>
    <w:p>
      <w:pPr>
        <w:pStyle w:val="Normal"/>
        <w:rPr>
          <w:rFonts w:ascii="Times New Roman" w:hAnsi="Times New Roman" w:cs="Times New Roman"/>
          <w:sz w:val="28"/>
        </w:rPr>
      </w:pPr>
      <w:r>
        <w:rPr>
          <w:rFonts w:cs="Times New Roman"/>
          <w:sz w:val="28"/>
        </w:rPr>
      </w:r>
    </w:p>
    <w:p>
      <w:pPr>
        <w:pStyle w:val="Normal"/>
        <w:suppressAutoHyphens w:val="true"/>
        <w:jc w:val="center"/>
        <w:rPr>
          <w:spacing w:val="-2"/>
        </w:rPr>
      </w:pPr>
      <w:r>
        <w:rPr>
          <w:b/>
          <w:spacing w:val="-2"/>
        </w:rPr>
        <w:t>ENRON CORP.</w:t>
      </w:r>
    </w:p>
    <w:p>
      <w:pPr>
        <w:pStyle w:val="INVOICEHD2"/>
        <w:tabs>
          <w:tab w:val="clear" w:pos="4680"/>
        </w:tabs>
        <w:suppressAutoHyphens w:val="true"/>
        <w:rPr>
          <w:rFonts w:ascii="Times New Roman" w:hAnsi="Times New Roman" w:cs="Times New Roman"/>
          <w:spacing w:val="-2"/>
        </w:rPr>
      </w:pPr>
      <w:r>
        <w:rPr>
          <w:rFonts w:cs="Times New Roman" w:ascii="Times New Roman" w:hAnsi="Times New Roman"/>
          <w:spacing w:val="-2"/>
        </w:rPr>
      </w:r>
    </w:p>
    <w:p>
      <w:pPr>
        <w:pStyle w:val="Normal"/>
        <w:suppressAutoHyphens w:val="true"/>
        <w:jc w:val="center"/>
        <w:rPr>
          <w:spacing w:val="-2"/>
        </w:rPr>
      </w:pPr>
      <w:r>
        <w:rPr>
          <w:b/>
          <w:spacing w:val="-2"/>
          <w:u w:val="single"/>
        </w:rPr>
        <w:t>Guarantee Agreement</w:t>
      </w:r>
    </w:p>
    <w:p>
      <w:pPr>
        <w:pStyle w:val="Normal"/>
        <w:suppressAutoHyphens w:val="true"/>
        <w:jc w:val="both"/>
        <w:rPr>
          <w:spacing w:val="-2"/>
        </w:rPr>
      </w:pPr>
      <w:r>
        <w:rPr>
          <w:spacing w:val="-2"/>
        </w:rPr>
      </w:r>
    </w:p>
    <w:p>
      <w:pPr>
        <w:pStyle w:val="Normal"/>
        <w:suppressAutoHyphens w:val="true"/>
        <w:jc w:val="both"/>
        <w:rPr>
          <w:spacing w:val="-2"/>
        </w:rPr>
      </w:pPr>
      <w:r>
        <w:rPr>
          <w:spacing w:val="-2"/>
        </w:rPr>
      </w:r>
    </w:p>
    <w:p>
      <w:pPr>
        <w:pStyle w:val="Justified"/>
        <w:rPr/>
      </w:pPr>
      <w:r>
        <w:rPr/>
        <w:tab/>
        <w:t>This Guarantee Agreement (this "Guarantee"), dated as of _______, 2000, is made and entered into by Enron Corp., an Oregon corporation ("Guarantor").</w:t>
      </w:r>
    </w:p>
    <w:p>
      <w:pPr>
        <w:pStyle w:val="Normal"/>
        <w:suppressAutoHyphens w:val="true"/>
        <w:spacing w:before="240" w:after="240"/>
        <w:jc w:val="center"/>
        <w:rPr>
          <w:spacing w:val="-2"/>
        </w:rPr>
      </w:pPr>
      <w:r>
        <w:rPr>
          <w:b/>
          <w:spacing w:val="-2"/>
        </w:rPr>
        <w:t>W I T N E S S E T H:</w:t>
      </w:r>
    </w:p>
    <w:p>
      <w:pPr>
        <w:pStyle w:val="Justified"/>
        <w:ind w:firstLine="720" w:end="0"/>
        <w:rPr/>
      </w:pPr>
      <w:r>
        <w:rPr>
          <w:spacing w:val="-2"/>
        </w:rPr>
        <w:t xml:space="preserve">WHEREAS, </w:t>
      </w:r>
      <w:r>
        <w:rPr/>
        <w:t>Enron Power Marketing, Inc. (the "Company") will enter into an electrical energy for coal exchange transaction evidenced by a confirmation dated ______ (hereinafter the "Transaction") effective as of the date of this Guarantee with First Energy Fuel Marketing Inc. ("Counterparty")</w:t>
      </w:r>
      <w:r>
        <w:rPr>
          <w:spacing w:val="-2"/>
        </w:rPr>
        <w:t>; and</w:t>
      </w:r>
    </w:p>
    <w:p>
      <w:pPr>
        <w:pStyle w:val="Justified"/>
        <w:ind w:firstLine="720" w:end="0"/>
        <w:rPr>
          <w:spacing w:val="-2"/>
        </w:rPr>
      </w:pPr>
      <w:r>
        <w:rPr>
          <w:spacing w:val="-2"/>
        </w:rPr>
        <w:t>WHEREAS, Guarantor will directly or indirectly benefit from the Transaction.</w:t>
      </w:r>
    </w:p>
    <w:p>
      <w:pPr>
        <w:pStyle w:val="Justified"/>
        <w:ind w:firstLine="720" w:end="0"/>
        <w:rPr>
          <w:spacing w:val="-2"/>
        </w:rPr>
      </w:pPr>
      <w:r>
        <w:rPr>
          <w:spacing w:val="-2"/>
        </w:rPr>
        <w:t>NOW THEREFORE, in consideration of Counterparty entering into the Transaction, Guarantor hereby covenants and agrees as follows:</w:t>
      </w:r>
    </w:p>
    <w:p>
      <w:pPr>
        <w:pStyle w:val="Justified"/>
        <w:ind w:firstLine="720" w:end="0"/>
        <w:rPr/>
      </w:pPr>
      <w:r>
        <w:rPr>
          <w:spacing w:val="-2"/>
        </w:rPr>
        <w:t>1.</w:t>
        <w:tab/>
      </w:r>
      <w:r>
        <w:rPr>
          <w:spacing w:val="-2"/>
          <w:u w:val="single"/>
        </w:rPr>
        <w:t>GUARANTY</w:t>
      </w:r>
      <w:r>
        <w:rPr>
          <w:spacing w:val="-2"/>
        </w:rPr>
        <w:t>.  Subject to the provisions hereof, Guarantor hereby irrevocably and unconditionally guarantees the timely payment when due of the obligations of Company (the "Obligations") to Counterparty in accordance with the Transaction.  To the extent that Company shall fail to pay any Obligations, Guarantor shall promptly pay to Counterparty the amount due.  This Guarantee shall constitute a guarantee of payment and not of collection.  The liability of Guarantor under the Guarantee shall be subject to the following:</w:t>
      </w:r>
    </w:p>
    <w:p>
      <w:pPr>
        <w:pStyle w:val="Justified"/>
        <w:ind w:firstLine="720" w:end="0"/>
        <w:rPr>
          <w:spacing w:val="-2"/>
        </w:rPr>
      </w:pPr>
      <w:r>
        <w:rPr>
          <w:spacing w:val="-2"/>
        </w:rPr>
        <w:t>(a)</w:t>
        <w:tab/>
        <w:t>Guarantor's liability hereunder shall be and is specifically limited to payments expressly required to be made in accordance with the Transaction (even if such payments are deemed to be damages) and, except to the extent specifically provided in the Transaction, in no event shall Guarantor be subject hereunder to consequential, exemplary, equitable, loss of profits, punitive, tort, or any other damages, costs, or attorney's fees.</w:t>
      </w:r>
    </w:p>
    <w:p>
      <w:pPr>
        <w:pStyle w:val="Justified"/>
        <w:ind w:firstLine="720" w:end="0"/>
        <w:rPr/>
      </w:pPr>
      <w:r>
        <w:rPr>
          <w:spacing w:val="-2"/>
        </w:rPr>
        <w:t>(b)</w:t>
        <w:tab/>
        <w:t>The aggregate amount covered by this Guarantee shall not exceed ____________ Million</w:t>
      </w:r>
      <w:r>
        <w:rPr>
          <w:b/>
          <w:spacing w:val="-2"/>
        </w:rPr>
        <w:t xml:space="preserve"> </w:t>
      </w:r>
      <w:r>
        <w:rPr>
          <w:spacing w:val="-2"/>
        </w:rPr>
        <w:t>U.S. Dollars ($_________).</w:t>
      </w:r>
    </w:p>
    <w:p>
      <w:pPr>
        <w:pStyle w:val="Justified"/>
        <w:ind w:firstLine="720" w:end="0"/>
        <w:rPr/>
      </w:pPr>
      <w:r>
        <w:rPr>
          <w:spacing w:val="-2"/>
        </w:rPr>
        <w:t>2.</w:t>
        <w:tab/>
      </w:r>
      <w:r>
        <w:rPr>
          <w:spacing w:val="-2"/>
          <w:u w:val="single"/>
        </w:rPr>
        <w:t>DEMANDS AND NOTICE</w:t>
      </w:r>
      <w:r>
        <w:rPr>
          <w:spacing w:val="-2"/>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spacing w:val="-2"/>
        </w:rPr>
      </w:pPr>
      <w:r>
        <w:rPr>
          <w:spacing w:val="-2"/>
        </w:rPr>
      </w:r>
    </w:p>
    <w:p>
      <w:pPr>
        <w:pStyle w:val="Justified"/>
        <w:ind w:firstLine="720" w:end="0"/>
        <w:rPr/>
      </w:pPr>
      <w:r>
        <w:rPr>
          <w:spacing w:val="-2"/>
        </w:rPr>
        <w:t>3.</w:t>
        <w:tab/>
      </w:r>
      <w:r>
        <w:rPr>
          <w:spacing w:val="-2"/>
          <w:u w:val="single"/>
        </w:rPr>
        <w:t>REPRESENTATIONS AND WARRANTIES</w:t>
      </w:r>
      <w:r>
        <w:rPr>
          <w:spacing w:val="-2"/>
        </w:rPr>
        <w:t>.  Guarantor represents and warrants that:</w:t>
      </w:r>
    </w:p>
    <w:p>
      <w:pPr>
        <w:pStyle w:val="Justified"/>
        <w:ind w:firstLine="720" w:end="0"/>
        <w:rPr>
          <w:spacing w:val="-2"/>
        </w:rPr>
      </w:pPr>
      <w:r>
        <w:rPr>
          <w:spacing w:val="-2"/>
        </w:rPr>
        <w:t>(a)</w:t>
        <w:tab/>
        <w:t>it is a corporation duly organized and validly existing under the laws of the State of  Oregon and has the corporate power and authority to execute, deliver and carry out the terms and provisions of the Guarantee;</w:t>
      </w:r>
    </w:p>
    <w:p>
      <w:pPr>
        <w:pStyle w:val="Justified"/>
        <w:ind w:firstLine="720" w:end="0"/>
        <w:rPr>
          <w:spacing w:val="-2"/>
        </w:rPr>
      </w:pPr>
      <w:r>
        <w:rPr>
          <w:spacing w:val="-2"/>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Justified"/>
        <w:ind w:firstLine="720" w:end="0"/>
        <w:rPr>
          <w:spacing w:val="-2"/>
        </w:rPr>
      </w:pPr>
      <w:r>
        <w:rPr>
          <w:spacing w:val="-2"/>
        </w:rPr>
        <w:t>(c)</w:t>
        <w:tab/>
        <w:t>this Guarantee constitutes a valid and legally binding agreement of Guarantor, except as the enforceability of this Guarantee may be limited by the effect of any applicable bankruptcy, insolvency, reorganization, moratorium or similar laws affecting creditors’ rights generally and by general principles of equity.</w:t>
      </w:r>
    </w:p>
    <w:p>
      <w:pPr>
        <w:pStyle w:val="Justified"/>
        <w:ind w:firstLine="720" w:end="0"/>
        <w:rPr/>
      </w:pPr>
      <w:r>
        <w:rPr>
          <w:spacing w:val="-2"/>
        </w:rPr>
        <w:t>4.</w:t>
        <w:tab/>
      </w:r>
      <w:r>
        <w:rPr>
          <w:spacing w:val="-2"/>
          <w:u w:val="single"/>
        </w:rPr>
        <w:t>SETOFFS AND COUNTERCLAIMS</w:t>
      </w:r>
      <w:r>
        <w:rPr>
          <w:spacing w:val="-2"/>
        </w:rPr>
        <w:t>.  Without limiting Guarantor's own defenses and rights hereunder, Guarantor reserves to itself all rights, setoffs, counterclaims and other defenses to which Company or any other affiliate of Guarantor is or may be entitled to arising from or out of the Transaction or otherwise, except for defenses arising out of the bankruptcy, insolvency, dissolution or liquidation of Company.</w:t>
      </w:r>
    </w:p>
    <w:p>
      <w:pPr>
        <w:pStyle w:val="Justified"/>
        <w:ind w:firstLine="720" w:end="0"/>
        <w:rPr/>
      </w:pPr>
      <w:r>
        <w:rPr>
          <w:spacing w:val="-2"/>
        </w:rPr>
        <w:t>5.</w:t>
        <w:tab/>
      </w:r>
      <w:r>
        <w:rPr>
          <w:spacing w:val="-2"/>
          <w:u w:val="single"/>
        </w:rPr>
        <w:t>AMENDMENT OF GUARANTY</w:t>
      </w:r>
      <w:r>
        <w:rPr>
          <w:spacing w:val="-2"/>
        </w:rPr>
        <w:t>.  No term or provision of this Guarantee shall be amended, modified, altered, waived, or supplemented except in a writing signed by the parties hereto.</w:t>
      </w:r>
    </w:p>
    <w:p>
      <w:pPr>
        <w:pStyle w:val="Justified"/>
        <w:ind w:firstLine="720" w:end="0"/>
        <w:rPr/>
      </w:pPr>
      <w:r>
        <w:rPr>
          <w:spacing w:val="-2"/>
        </w:rPr>
        <w:t>6.</w:t>
        <w:tab/>
      </w:r>
      <w:r>
        <w:rPr>
          <w:spacing w:val="-2"/>
          <w:u w:val="single"/>
        </w:rPr>
        <w:t>WAIVERS</w:t>
      </w:r>
      <w:r>
        <w:rPr>
          <w:spacing w:val="-2"/>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Counterparty seek enforcement of any performance against Company or any other person, prior to any action against Guarantor under the terms hereof.</w:t>
      </w:r>
    </w:p>
    <w:p>
      <w:pPr>
        <w:pStyle w:val="Justified"/>
        <w:ind w:firstLine="720" w:end="0"/>
        <w:rPr>
          <w:spacing w:val="-2"/>
        </w:rPr>
      </w:pPr>
      <w:r>
        <w:rPr>
          <w:spacing w:val="-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spacing w:val="-2"/>
        </w:rPr>
      </w:pPr>
      <w:r>
        <w:rPr>
          <w:spacing w:val="-2"/>
        </w:rPr>
        <w:t>Guarantor consents to the renewal, compromise, extension, acceleration or other changes in the time of payment of or other changes in the terms of the Obligations, or any part thereof or any changes or modifications to the terms of the Transaction.</w:t>
      </w:r>
    </w:p>
    <w:p>
      <w:pPr>
        <w:pStyle w:val="Justified"/>
        <w:ind w:firstLine="720" w:end="0"/>
        <w:rPr>
          <w:spacing w:val="-2"/>
        </w:rPr>
      </w:pPr>
      <w:r>
        <w:rPr/>
        <w:t>Guarantor may terminate this Guarantee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Transaction) entered into prior to the time the termination is effective, which Transaction shall remain guaranteed pursuant to the terms of this Guarantee.</w:t>
      </w:r>
    </w:p>
    <w:p>
      <w:pPr>
        <w:pStyle w:val="Justified"/>
        <w:ind w:firstLine="720" w:end="0"/>
        <w:rPr/>
      </w:pPr>
      <w:r>
        <w:rPr>
          <w:spacing w:val="-2"/>
        </w:rPr>
        <w:t>7.</w:t>
        <w:tab/>
      </w:r>
      <w:r>
        <w:rPr>
          <w:spacing w:val="-2"/>
          <w:u w:val="single"/>
        </w:rPr>
        <w:t>NOTICE</w:t>
      </w:r>
      <w:r>
        <w:rPr>
          <w:spacing w:val="-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2"/>
        </w:rPr>
        <w:t>To Counterparty:</w:t>
        <w:tab/>
        <w:t>________________________________</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_________________________________</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_________________________________</w:t>
      </w:r>
    </w:p>
    <w:p>
      <w:pPr>
        <w:pStyle w:val="Normal"/>
        <w:keepNext w:val="true"/>
        <w:tabs>
          <w:tab w:val="clear" w:pos="720"/>
          <w:tab w:val="left" w:pos="1440" w:leader="none"/>
          <w:tab w:val="left" w:pos="4320" w:leader="none"/>
          <w:tab w:val="left" w:pos="7920" w:leader="none"/>
        </w:tabs>
        <w:suppressAutoHyphens w:val="true"/>
        <w:ind w:start="720" w:end="0"/>
        <w:jc w:val="both"/>
        <w:rPr>
          <w:spacing w:val="-3"/>
        </w:rPr>
      </w:pPr>
      <w:r>
        <w:rPr>
          <w:spacing w:val="-3"/>
        </w:rPr>
        <w:tab/>
        <w:tab/>
        <w:t>Attn.:</w:t>
      </w:r>
      <w:r>
        <w:rPr>
          <w:spacing w:val="-3"/>
          <w:u w:val="single"/>
        </w:rPr>
        <w:tab/>
      </w:r>
    </w:p>
    <w:p>
      <w:pPr>
        <w:pStyle w:val="Normal"/>
        <w:keepNext w:val="true"/>
        <w:tabs>
          <w:tab w:val="clear" w:pos="720"/>
          <w:tab w:val="left" w:pos="1440" w:leader="none"/>
          <w:tab w:val="left" w:pos="4320" w:leader="none"/>
          <w:tab w:val="left" w:pos="7920" w:leader="none"/>
        </w:tabs>
        <w:suppressAutoHyphens w:val="true"/>
        <w:ind w:start="720" w:end="0"/>
        <w:jc w:val="both"/>
        <w:rPr>
          <w:spacing w:val="-2"/>
        </w:rPr>
      </w:pPr>
      <w:r>
        <w:rPr>
          <w:spacing w:val="-3"/>
        </w:rPr>
        <w:tab/>
        <w:tab/>
        <w:t>Fax No.</w:t>
      </w:r>
      <w:r>
        <w:rPr>
          <w:spacing w:val="-3"/>
          <w:u w:val="single"/>
        </w:rPr>
        <w:tab/>
      </w:r>
    </w:p>
    <w:p>
      <w:pPr>
        <w:pStyle w:val="Normal"/>
        <w:tabs>
          <w:tab w:val="clear" w:pos="720"/>
          <w:tab w:val="left" w:pos="1440" w:leader="none"/>
          <w:tab w:val="left" w:pos="4320" w:leader="none"/>
        </w:tabs>
        <w:suppressAutoHyphens w:val="true"/>
        <w:ind w:start="720" w:end="0"/>
        <w:jc w:val="both"/>
        <w:rPr>
          <w:spacing w:val="-2"/>
        </w:rPr>
      </w:pPr>
      <w:r>
        <w:rPr>
          <w:spacing w:val="-2"/>
        </w:rPr>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To Guarantor:</w:t>
        <w:tab/>
        <w:t>Enron Corp.</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1400 Smith Street</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Houston, Texas  77002</w:t>
      </w:r>
    </w:p>
    <w:p>
      <w:pPr>
        <w:pStyle w:val="Normal"/>
        <w:keepNext w:val="true"/>
        <w:keepLines/>
        <w:tabs>
          <w:tab w:val="clear" w:pos="720"/>
          <w:tab w:val="left" w:pos="1440" w:leader="none"/>
          <w:tab w:val="left" w:pos="4320" w:leader="none"/>
        </w:tabs>
        <w:suppressAutoHyphens w:val="true"/>
        <w:ind w:start="720" w:end="0"/>
        <w:jc w:val="both"/>
        <w:rPr>
          <w:spacing w:val="-2"/>
        </w:rPr>
      </w:pPr>
      <w:r>
        <w:rPr>
          <w:spacing w:val="-2"/>
        </w:rPr>
        <w:tab/>
        <w:tab/>
        <w:t>Attn.:  Vice President, Finance and Treasurer</w:t>
      </w:r>
    </w:p>
    <w:p>
      <w:pPr>
        <w:pStyle w:val="Normal"/>
        <w:tabs>
          <w:tab w:val="clear" w:pos="720"/>
          <w:tab w:val="left" w:pos="1440" w:leader="none"/>
          <w:tab w:val="left" w:pos="4320" w:leader="none"/>
        </w:tabs>
        <w:suppressAutoHyphens w:val="true"/>
        <w:ind w:start="720" w:end="0"/>
        <w:jc w:val="both"/>
        <w:rPr>
          <w:spacing w:val="-2"/>
        </w:rPr>
      </w:pPr>
      <w:r>
        <w:rPr>
          <w:spacing w:val="-2"/>
        </w:rPr>
        <w:tab/>
        <w:tab/>
        <w:t>Fax No.:  (713) 646-3422</w:t>
      </w:r>
    </w:p>
    <w:p>
      <w:pPr>
        <w:pStyle w:val="Normal"/>
        <w:suppressAutoHyphens w:val="true"/>
        <w:jc w:val="both"/>
        <w:rPr>
          <w:spacing w:val="-2"/>
        </w:rPr>
      </w:pPr>
      <w:r>
        <w:rPr>
          <w:spacing w:val="-2"/>
        </w:rPr>
      </w:r>
    </w:p>
    <w:p>
      <w:pPr>
        <w:pStyle w:val="Justified"/>
        <w:ind w:firstLine="720" w:end="0"/>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Justified"/>
        <w:ind w:firstLine="720" w:end="0"/>
        <w:rPr/>
      </w:pPr>
      <w:r>
        <w:rPr/>
        <w:t>8.</w:t>
        <w:tab/>
      </w:r>
      <w:r>
        <w:rPr>
          <w:u w:val="single"/>
        </w:rPr>
        <w:t>MISCELLANEOUS</w:t>
      </w:r>
      <w:r>
        <w:rPr/>
        <w:t>.  THIS GUARANTEE SHALL IN ALL RESPECTS BE GOVERNED BY, AND CONSTRUED IN ACCORDANCE WITH, THE LAWS OF THE STATE OF TEXAS, WITHOUT REGARD TO PRINCIPLES OF CONFLICTS OF LAWS.  This Guarantee shall be binding upon Guarantor, its successors and assigns and inure to the benefit of and be enforceable by Counterparty, its successors and assigns.  The Guarantee embodies the entire agreement and understanding between Guarantor and Counterparty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Justified"/>
        <w:keepNext w:val="true"/>
        <w:keepLines/>
        <w:ind w:firstLine="720" w:end="0"/>
        <w:rPr/>
      </w:pPr>
      <w:r>
        <w:rPr/>
        <w:t>EXECUTED as of the day and year first above written.</w:t>
      </w:r>
    </w:p>
    <w:p>
      <w:pPr>
        <w:pStyle w:val="Normal"/>
        <w:keepNext w:val="true"/>
        <w:keepLines/>
        <w:suppressAutoHyphens w:val="true"/>
        <w:jc w:val="both"/>
        <w:rPr>
          <w:spacing w:val="-2"/>
        </w:rPr>
      </w:pPr>
      <w:r>
        <w:rPr>
          <w:spacing w:val="-2"/>
        </w:rPr>
      </w:r>
    </w:p>
    <w:p>
      <w:pPr>
        <w:pStyle w:val="Normal"/>
        <w:keepNext w:val="true"/>
        <w:keepLines/>
        <w:tabs>
          <w:tab w:val="clear" w:pos="720"/>
          <w:tab w:val="left" w:pos="5040" w:leader="none"/>
          <w:tab w:val="left" w:pos="9180" w:leader="none"/>
        </w:tabs>
        <w:suppressAutoHyphens w:val="true"/>
        <w:jc w:val="both"/>
        <w:rPr>
          <w:spacing w:val="-2"/>
        </w:rPr>
      </w:pPr>
      <w:r>
        <w:rPr>
          <w:b/>
          <w:spacing w:val="-2"/>
        </w:rPr>
        <w:tab/>
        <w:t>ENRON CORP.</w:t>
      </w:r>
    </w:p>
    <w:p>
      <w:pPr>
        <w:pStyle w:val="Normal"/>
        <w:keepNext w:val="true"/>
        <w:keepLines/>
        <w:tabs>
          <w:tab w:val="clear" w:pos="720"/>
          <w:tab w:val="left" w:pos="5040" w:leader="none"/>
          <w:tab w:val="left" w:pos="9180" w:leader="none"/>
        </w:tabs>
        <w:suppressAutoHyphens w:val="true"/>
        <w:jc w:val="both"/>
        <w:rPr>
          <w:spacing w:val="-2"/>
        </w:rPr>
      </w:pPr>
      <w:r>
        <w:rPr>
          <w:spacing w:val="-2"/>
        </w:rPr>
      </w:r>
    </w:p>
    <w:p>
      <w:pPr>
        <w:pStyle w:val="Normal"/>
        <w:keepNext w:val="true"/>
        <w:keepLines/>
        <w:tabs>
          <w:tab w:val="clear" w:pos="720"/>
          <w:tab w:val="left" w:pos="5040" w:leader="none"/>
          <w:tab w:val="left" w:pos="9900" w:leader="none"/>
        </w:tabs>
        <w:suppressAutoHyphens w:val="true"/>
        <w:spacing w:before="120" w:after="0"/>
        <w:jc w:val="both"/>
        <w:rPr>
          <w:spacing w:val="-2"/>
        </w:rPr>
      </w:pPr>
      <w:r>
        <w:rPr>
          <w:spacing w:val="-2"/>
        </w:rPr>
        <w:tab/>
        <w:t>By:</w:t>
      </w:r>
      <w:r>
        <w:rPr>
          <w:spacing w:val="-2"/>
          <w:u w:val="single"/>
        </w:rPr>
        <w:tab/>
      </w:r>
    </w:p>
    <w:p>
      <w:pPr>
        <w:pStyle w:val="Normal"/>
        <w:keepNext w:val="true"/>
        <w:keepLines/>
        <w:tabs>
          <w:tab w:val="clear" w:pos="720"/>
          <w:tab w:val="left" w:pos="-1440" w:leader="none"/>
          <w:tab w:val="left" w:pos="-720" w:leader="none"/>
          <w:tab w:val="left" w:pos="5040" w:leader="none"/>
          <w:tab w:val="left" w:pos="9900" w:leader="none"/>
        </w:tabs>
        <w:suppressAutoHyphens w:val="true"/>
        <w:spacing w:before="120" w:after="120"/>
        <w:jc w:val="both"/>
        <w:rPr>
          <w:spacing w:val="-2"/>
        </w:rPr>
      </w:pPr>
      <w:r>
        <w:rPr>
          <w:spacing w:val="-2"/>
        </w:rPr>
        <w:tab/>
        <w:t>Name:</w:t>
      </w:r>
      <w:r>
        <w:rPr>
          <w:spacing w:val="-2"/>
          <w:u w:val="single"/>
        </w:rPr>
        <w:tab/>
      </w:r>
    </w:p>
    <w:p>
      <w:pPr>
        <w:pStyle w:val="Normal"/>
        <w:tabs>
          <w:tab w:val="clear" w:pos="720"/>
          <w:tab w:val="left" w:pos="5040" w:leader="none"/>
          <w:tab w:val="left" w:pos="9900" w:leader="none"/>
        </w:tabs>
        <w:jc w:val="both"/>
        <w:rPr>
          <w:spacing w:val="-2"/>
        </w:rPr>
      </w:pPr>
      <w:r>
        <w:rPr>
          <w:spacing w:val="-2"/>
        </w:rPr>
        <w:tab/>
        <w:t>Title:</w:t>
      </w:r>
      <w:r>
        <w:rPr>
          <w:spacing w:val="-2"/>
          <w:u w:val="single"/>
        </w:rPr>
        <w:tab/>
      </w:r>
    </w:p>
    <w:p>
      <w:pPr>
        <w:pStyle w:val="Normal"/>
        <w:jc w:val="both"/>
        <w:rPr>
          <w:spacing w:val="-2"/>
        </w:rPr>
      </w:pPr>
      <w:r>
        <w:rPr>
          <w:spacing w:val="-2"/>
        </w:rPr>
      </w:r>
    </w:p>
    <w:p>
      <w:pPr>
        <w:pStyle w:val="Heading"/>
        <w:rPr/>
      </w:pPr>
      <w:r>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r>
        <w:br w:type="page"/>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rFonts w:ascii="Arial" w:hAnsi="Arial" w:cs="Arial"/>
          <w:sz w:val="18"/>
        </w:rPr>
      </w:pPr>
      <w:r>
        <w:rPr>
          <w:rFonts w:cs="Arial" w:ascii="Arial" w:hAnsi="Arial"/>
          <w:sz w:val="18"/>
        </w:rPr>
      </w:r>
    </w:p>
    <w:p>
      <w:pPr>
        <w:pStyle w:val="Heading7"/>
        <w:ind w:hanging="0" w:start="0"/>
        <w:rPr/>
      </w:pPr>
      <w:r>
        <w:rPr/>
        <w:t>EXHIBIT B</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Counterparty Guarantee</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sz w:val="18"/>
        </w:rPr>
      </w:pPr>
      <w:r>
        <w:rPr>
          <w:rFonts w:cs="Arial" w:ascii="Arial" w:hAnsi="Arial"/>
          <w:sz w:val="18"/>
        </w:rPr>
        <w:t>(to be provided)</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pPr>
      <w:r>
        <w:rPr/>
        <w:br/>
      </w:r>
    </w:p>
    <w:p>
      <w:pPr>
        <w:sectPr>
          <w:headerReference w:type="default" r:id="rId3"/>
          <w:footerReference w:type="default" r:id="rId4"/>
          <w:type w:val="nextPage"/>
          <w:pgSz w:w="12240" w:h="15840"/>
          <w:pgMar w:left="1267" w:right="1282" w:gutter="0" w:header="720" w:top="1440" w:footer="720" w:bottom="1440"/>
          <w:pgNumType w:fmt="decimal"/>
          <w:formProt w:val="false"/>
          <w:textDirection w:val="lrTb"/>
          <w:docGrid w:type="default" w:linePitch="360" w:charSpace="0"/>
        </w:sectPr>
      </w:pPr>
    </w:p>
    <w:p>
      <w:pPr>
        <w:pStyle w:val="Heading7"/>
        <w:ind w:hanging="0" w:start="0"/>
        <w:rPr/>
      </w:pPr>
      <w:r>
        <w:rPr/>
      </w:r>
    </w:p>
    <w:sectPr>
      <w:type w:val="continuous"/>
      <w:pgSz w:w="12240" w:h="15840"/>
      <w:pgMar w:left="1267" w:right="1282" w:gutter="0" w:header="72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jc w:val="center"/>
      <w:rPr>
        <w:rStyle w:val="PageNumber"/>
      </w:rPr>
    </w:pPr>
    <w:r>
      <w:rPr/>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/mnt/main-storage/datasets/enron-docs/doc/ConfirmationFirst_Energy.doc</w:t>
    </w:r>
    <w:r>
      <w:rPr>
        <w:rStyle w:val="PageNumbe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jc w:val="center"/>
      <w:rPr>
        <w:b/>
        <w:sz w:val="26"/>
      </w:rPr>
    </w:pPr>
    <w:r>
      <w:rPr>
        <w:b/>
        <w:sz w:val="26"/>
      </w:rPr>
    </w:r>
  </w:p>
  <w:p>
    <w:pPr>
      <w:pStyle w:val="Header"/>
      <w:tabs>
        <w:tab w:val="center" w:pos="4320" w:leader="none"/>
        <w:tab w:val="left" w:pos="7380" w:leader="none"/>
        <w:tab w:val="right" w:pos="8640" w:leader="none"/>
      </w:tabs>
      <w:ind w:start="6840" w:end="0"/>
      <w:rPr>
        <w:rFonts w:ascii="Arial" w:hAnsi="Arial" w:cs="Arial"/>
      </w:rPr>
    </w:pPr>
    <w:r>
      <w:rPr>
        <w:rFonts w:eastAsia="Arial" w:cs="Arial" w:ascii="Arial" w:hAnsi="Arial"/>
        <w:sz w:val="18"/>
      </w:rPr>
      <w:t xml:space="preserve"> </w:t>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rPr>
        <w:rFonts w:ascii="Arial" w:hAnsi="Arial" w:cs="Arial"/>
      </w:rPr>
    </w:pPr>
    <w:r>
      <w:rPr>
        <w:rFonts w:cs="Arial" w:ascii="Arial" w:hAnsi="Arial"/>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5040" w:leader="none"/>
        <w:tab w:val="left" w:pos="5760" w:leader="none"/>
        <w:tab w:val="left" w:pos="6480" w:leader="none"/>
      </w:tabs>
      <w:jc w:val="both"/>
      <w:outlineLvl w:val="0"/>
    </w:pPr>
    <w:rPr>
      <w:rFonts w:ascii="Arial" w:hAnsi="Arial" w:cs="Arial"/>
      <w:sz w:val="18"/>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rFonts w:ascii="Arial" w:hAnsi="Arial" w:cs="Arial"/>
      <w:sz w:val="18"/>
      <w:u w:val="single"/>
    </w:rPr>
  </w:style>
  <w:style w:type="paragraph" w:styleId="Heading5">
    <w:name w:val="heading 5"/>
    <w:basedOn w:val="Normal"/>
    <w:next w:val="Normal"/>
    <w:qFormat/>
    <w:pPr>
      <w:keepNext w:val="true"/>
      <w:numPr>
        <w:ilvl w:val="4"/>
        <w:numId w:val="1"/>
      </w:numPr>
      <w:outlineLvl w:val="4"/>
    </w:pPr>
    <w:rPr>
      <w:rFonts w:ascii="Arial" w:hAnsi="Arial" w:cs="Arial"/>
      <w:b/>
      <w:bCs/>
      <w:sz w:val="18"/>
      <w:u w:val="single"/>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paragraph" w:styleId="Heading7">
    <w:name w:val="heading 7"/>
    <w:basedOn w:val="Normal"/>
    <w:next w:val="Normal"/>
    <w:qFormat/>
    <w:pPr>
      <w:keepNext w:val="true"/>
      <w:keepLines/>
      <w:numPr>
        <w:ilvl w:val="6"/>
        <w:numId w:val="1"/>
      </w:numPr>
      <w:tabs>
        <w:tab w:val="left" w:pos="720" w:leader="none"/>
        <w:tab w:val="left" w:pos="1440" w:leader="none"/>
        <w:tab w:val="left" w:pos="2160" w:leader="none"/>
        <w:tab w:val="left" w:pos="5040" w:leader="none"/>
        <w:tab w:val="left" w:pos="5760" w:leader="none"/>
        <w:tab w:val="left" w:pos="6480" w:leader="none"/>
      </w:tabs>
      <w:jc w:val="center"/>
      <w:outlineLvl w:val="6"/>
    </w:pPr>
    <w:rPr>
      <w:rFonts w:ascii="Arial" w:hAnsi="Arial" w:cs="Arial"/>
      <w:b/>
      <w:bCs/>
      <w:sz w:val="18"/>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z w:val="24"/>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Courier New" w:hAnsi="Courier;Courier New" w:cs="Courier;Courier New"/>
      <w:sz w:val="22"/>
    </w:rPr>
  </w:style>
  <w:style w:type="paragraph" w:styleId="BodyText2">
    <w:name w:val="Body Text 2"/>
    <w:basedOn w:val="Normal"/>
    <w:qFormat/>
    <w:pPr>
      <w:jc w:val="both"/>
    </w:pPr>
    <w:rPr>
      <w:rFonts w:ascii="Arial" w:hAnsi="Arial" w:cs="Arial"/>
      <w:sz w:val="18"/>
    </w:rPr>
  </w:style>
  <w:style w:type="paragraph" w:styleId="BodyText3">
    <w:name w:val="Body Text 3"/>
    <w:basedOn w:val="Normal"/>
    <w:qFormat/>
    <w:pPr>
      <w:keepNext w:val="true"/>
      <w:keepLines/>
      <w:tabs>
        <w:tab w:val="clear" w:pos="720"/>
        <w:tab w:val="left" w:pos="5040" w:leader="none"/>
        <w:tab w:val="left" w:pos="5760" w:leader="none"/>
        <w:tab w:val="left" w:pos="6480" w:leader="none"/>
      </w:tabs>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2000-11-17T21:13:00Z</dcterms:created>
  <dc:creator> </dc:creator>
  <dc:description/>
  <dc:language>en-CA</dc:language>
  <cp:lastModifiedBy>dsnow</cp:lastModifiedBy>
  <cp:lastPrinted>2000-11-17T17:43:00Z</cp:lastPrinted>
  <dcterms:modified xsi:type="dcterms:W3CDTF">2000-11-17T21:13:00Z</dcterms:modified>
  <cp:revision>3</cp:revision>
  <dc:subject/>
  <dc:title>420529.1</dc:title>
</cp:coreProperties>
</file>