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rPr>
                <w:b/>
              </w:rPr>
            </w:pPr>
            <w:r>
              <w:rPr>
                <w:b/>
              </w:rPr>
              <w:t>Enron Broadband Services, L.P.</w:t>
            </w:r>
          </w:p>
          <w:p>
            <w:pPr>
              <w:pStyle w:val="Normal"/>
              <w:tabs>
                <w:tab w:val="clear" w:pos="720"/>
                <w:tab w:val="left" w:pos="2412" w:leader="none"/>
              </w:tabs>
              <w:rPr/>
            </w:pPr>
            <w:r>
              <w:rPr/>
              <w:t>1400 Smith Street</w:t>
            </w:r>
          </w:p>
          <w:p>
            <w:pPr>
              <w:pStyle w:val="Normal"/>
              <w:tabs>
                <w:tab w:val="clear" w:pos="720"/>
                <w:tab w:val="left" w:pos="2412" w:leader="none"/>
              </w:tabs>
              <w:rPr/>
            </w:pPr>
            <w:r>
              <w:rPr/>
              <w:t>Suite 4400</w:t>
            </w:r>
          </w:p>
          <w:p>
            <w:pPr>
              <w:pStyle w:val="Normal"/>
              <w:tabs>
                <w:tab w:val="clear" w:pos="720"/>
                <w:tab w:val="left" w:pos="2412" w:leader="none"/>
              </w:tabs>
              <w:rPr/>
            </w:pPr>
            <w:r>
              <w:rPr/>
              <w:t>Houston, TX 77002</w:t>
            </w:r>
          </w:p>
          <w:p>
            <w:pPr>
              <w:pStyle w:val="Normal"/>
              <w:tabs>
                <w:tab w:val="clear" w:pos="720"/>
                <w:tab w:val="left" w:pos="2412" w:leader="none"/>
              </w:tabs>
              <w:rPr/>
            </w:pPr>
            <w:r>
              <w:rPr/>
            </w:r>
          </w:p>
        </w:tc>
      </w:tr>
    </w:tbl>
    <w:p>
      <w:pPr>
        <w:pStyle w:val="Normal"/>
        <w:jc w:val="center"/>
        <w:rPr/>
      </w:pPr>
      <w:r>
        <w:rPr/>
      </w:r>
    </w:p>
    <w:p>
      <w:pPr>
        <w:pStyle w:val="Normal"/>
        <w:jc w:val="center"/>
        <w:rPr/>
      </w:pPr>
      <w:r>
        <w:rPr/>
      </w:r>
    </w:p>
    <w:p>
      <w:pPr>
        <w:pStyle w:val="Normal"/>
        <w:jc w:val="center"/>
        <w:rPr/>
      </w:pPr>
      <w:r>
        <w:rPr/>
      </w:r>
    </w:p>
    <w:p>
      <w:pPr>
        <w:pStyle w:val="Normal"/>
        <w:rPr/>
      </w:pPr>
      <w:r>
        <w:rPr/>
        <w:t>[DATE]</w:t>
      </w:r>
    </w:p>
    <w:p>
      <w:pPr>
        <w:pStyle w:val="Normal"/>
        <w:rPr/>
      </w:pPr>
      <w:r>
        <w:rPr/>
      </w:r>
    </w:p>
    <w:p>
      <w:pPr>
        <w:pStyle w:val="Normal"/>
        <w:rPr/>
      </w:pPr>
      <w:r>
        <w:rPr/>
        <w:t>[CP NAME]</w:t>
      </w:r>
    </w:p>
    <w:p>
      <w:pPr>
        <w:pStyle w:val="Normal"/>
        <w:rPr/>
      </w:pPr>
      <w:r>
        <w:rPr/>
        <w:t>[ADDRESS]</w:t>
      </w:r>
    </w:p>
    <w:p>
      <w:pPr>
        <w:pStyle w:val="Normal"/>
        <w:rPr/>
      </w:pPr>
      <w:r>
        <w:rPr/>
      </w:r>
    </w:p>
    <w:p>
      <w:pPr>
        <w:pStyle w:val="Normal"/>
        <w:rPr/>
      </w:pPr>
      <w:r>
        <w:rPr/>
        <w:t>Attention:  [             ]</w:t>
      </w:r>
    </w:p>
    <w:p>
      <w:pPr>
        <w:pStyle w:val="Normal"/>
        <w:rPr/>
      </w:pPr>
      <w:r>
        <w:rPr/>
      </w:r>
    </w:p>
    <w:p>
      <w:pPr>
        <w:pStyle w:val="Normal"/>
        <w:rPr/>
      </w:pPr>
      <w:r>
        <w:rPr/>
        <w:t>Fax No.: [             ]</w:t>
      </w:r>
    </w:p>
    <w:p>
      <w:pPr>
        <w:pStyle w:val="Normal"/>
        <w:rPr/>
      </w:pPr>
      <w:r>
        <w:rPr/>
        <w:t>Telephone No.: [             ]</w:t>
      </w:r>
    </w:p>
    <w:p>
      <w:pPr>
        <w:pStyle w:val="Normal"/>
        <w:rPr/>
      </w:pPr>
      <w:r>
        <w:rPr/>
      </w:r>
    </w:p>
    <w:p>
      <w:pPr>
        <w:pStyle w:val="Heading3"/>
        <w:ind w:hanging="0" w:start="0"/>
        <w:rPr/>
      </w:pPr>
      <w:r>
        <w:rPr/>
        <w:t>Re:</w:t>
        <w:tab/>
        <w:t>ADVERTISING TRANSACTION -- EBS Contract No. [             ]</w:t>
      </w:r>
    </w:p>
    <w:p>
      <w:pPr>
        <w:pStyle w:val="Normal"/>
        <w:rPr/>
      </w:pPr>
      <w:r>
        <w:rPr/>
      </w:r>
    </w:p>
    <w:p>
      <w:pPr>
        <w:pStyle w:val="Normal"/>
        <w:rPr/>
      </w:pPr>
      <w:r>
        <w:rPr/>
        <w:t>Dear Sirs:</w:t>
      </w:r>
    </w:p>
    <w:p>
      <w:pPr>
        <w:pStyle w:val="Normal"/>
        <w:rPr/>
      </w:pPr>
      <w:r>
        <w:rPr/>
      </w:r>
    </w:p>
    <w:p>
      <w:pPr>
        <w:pStyle w:val="Normal"/>
        <w:jc w:val="both"/>
        <w:rPr/>
      </w:pPr>
      <w:r>
        <w:rPr/>
        <w:t xml:space="preserve">The purpose of this document is to confirm the terms and conditions of the transaction entered into between [CP NAME] (“Counterparty”) and Enron Broadband Services, L.P. (“EBS”) on [TRADE DATE] (the “Transaction”).  This document constitutes a “Confirmation” as referred to in the ISDA Master Agreement specified below.  </w:t>
      </w:r>
    </w:p>
    <w:p>
      <w:pPr>
        <w:pStyle w:val="Normal"/>
        <w:jc w:val="both"/>
        <w:rPr/>
      </w:pPr>
      <w:r>
        <w:rPr/>
      </w:r>
    </w:p>
    <w:p>
      <w:pPr>
        <w:pStyle w:val="Normal"/>
        <w:jc w:val="both"/>
        <w:rPr/>
      </w:pPr>
      <w:r>
        <w:rPr/>
        <w:t>The definitions and provisions contained in the 1991 ISDA Definitions and the 1993 ISDA Commodity Derivatives Definitions and (the “Definitions”), as published by the International Swaps and Derivatives Association, Inc. (“ISDA”), are incorporated into this Confirmation.  In the event of any inconsistency between the Definitions and this Confirmation, this Confirmation will prevail.  In the event of any inconsistency between the 1991 ISDA Definitions and the 1993 ISDA Commodity Derivatives Definitions, the 1993 ISDA Commodity Derivatives Definitions will prevail.</w:t>
      </w:r>
    </w:p>
    <w:p>
      <w:pPr>
        <w:pStyle w:val="Normal"/>
        <w:jc w:val="both"/>
        <w:rPr/>
      </w:pPr>
      <w:r>
        <w:rPr/>
      </w:r>
    </w:p>
    <w:p>
      <w:pPr>
        <w:pStyle w:val="Normal"/>
        <w:jc w:val="both"/>
        <w:rPr/>
      </w:pPr>
      <w:r>
        <w:rPr>
          <w:b/>
        </w:rPr>
        <w:t>1.</w:t>
        <w:tab/>
      </w:r>
      <w:r>
        <w:rPr/>
        <w:t>[This Confirmation will supplement, form part of, and be subject to, the 1992 ISDA Master Agreement dated as of [DATE], as amended and supplemented from time to time (the “Agreement”), entered into between you and us.  All provisions contained in the Agreement shall govern this Confirmation except as expressly modified below.][This Confirmation evidences a complete and binding agreement between you and us as to the terms of  the Transaction to which this Confirmation relates.  In addition, you and we agree to use all reasonable efforts promptly to negotiate, execute and deliver an agreement in the form of the ISDA Master Agreement (Multicurrency-Cross Border) (the “ISDA Form”), with such modifications as you and we will in good faith agree.  Upon the execution by you and us of such an agreement, this Confirmation will supplement, form a part of, and be subject to that agreement.  All provisions contained in or incorporated by reference in that agreement upon its execution will govern this Confirmation except as expressly modified below.  Until we execute and deliver that agreement, this Confirmation, together with all other documents referring to the ISDA Form (each a “Confirmation”) confirming transactions (each a “Transaction”) entered into between us (notwithstanding anything to the contrary in a Confirmation), shall supplement, form a part of, and be subject to the General Terms and Conditions attached hereto as Annex A (the Gtcs”).  In the event of any inconsistency between the provisions of the GTCs and this Confirmation, this Confirmation will prevail for the purpose of this Transaction.</w:t>
      </w:r>
    </w:p>
    <w:p>
      <w:pPr>
        <w:pStyle w:val="Normal"/>
        <w:jc w:val="both"/>
        <w:rPr/>
      </w:pPr>
      <w:r>
        <w:rPr/>
      </w:r>
    </w:p>
    <w:p>
      <w:pPr>
        <w:pStyle w:val="Normal"/>
        <w:jc w:val="both"/>
        <w:rPr/>
      </w:pPr>
      <w:r>
        <w:rPr/>
      </w:r>
    </w:p>
    <w:p>
      <w:pPr>
        <w:pStyle w:val="Normal"/>
        <w:numPr>
          <w:ilvl w:val="0"/>
          <w:numId w:val="2"/>
        </w:numPr>
        <w:tabs>
          <w:tab w:val="clear" w:pos="720"/>
          <w:tab w:val="left" w:pos="900" w:leader="none"/>
        </w:tabs>
        <w:jc w:val="both"/>
        <w:rPr/>
      </w:pPr>
      <w:r>
        <w:rPr>
          <w:b/>
          <w:u w:val="single"/>
        </w:rPr>
        <w:t>Terms of Transaction</w:t>
      </w:r>
      <w:r>
        <w:rPr>
          <w:b/>
        </w:rPr>
        <w:t xml:space="preserve">.  </w:t>
      </w:r>
      <w:r>
        <w:rPr/>
        <w:t>The terms of the particular Transaction to which this Confirmation relates are as follows:</w:t>
      </w:r>
    </w:p>
    <w:p>
      <w:pPr>
        <w:pStyle w:val="Normal"/>
        <w:jc w:val="both"/>
        <w:rPr/>
      </w:pPr>
      <w:r>
        <w:rPr/>
      </w:r>
    </w:p>
    <w:tbl>
      <w:tblPr>
        <w:tblW w:w="9576" w:type="dxa"/>
        <w:jc w:val="start"/>
        <w:tblInd w:w="0" w:type="dxa"/>
        <w:tblLayout w:type="fixed"/>
        <w:tblCellMar>
          <w:top w:w="0" w:type="dxa"/>
          <w:start w:w="108" w:type="dxa"/>
          <w:bottom w:w="0" w:type="dxa"/>
          <w:end w:w="108" w:type="dxa"/>
        </w:tblCellMar>
      </w:tblPr>
      <w:tblGrid>
        <w:gridCol w:w="3168"/>
        <w:gridCol w:w="6408"/>
      </w:tblGrid>
      <w:tr>
        <w:trPr/>
        <w:tc>
          <w:tcPr>
            <w:tcW w:w="3168" w:type="dxa"/>
            <w:tcBorders/>
          </w:tcPr>
          <w:p>
            <w:pPr>
              <w:pStyle w:val="Normal"/>
              <w:jc w:val="both"/>
              <w:rPr/>
            </w:pPr>
            <w:r>
              <w:rPr/>
              <w:t>Transaction Type:</w:t>
            </w:r>
          </w:p>
        </w:tc>
        <w:tc>
          <w:tcPr>
            <w:tcW w:w="6408" w:type="dxa"/>
            <w:tcBorders/>
          </w:tcPr>
          <w:p>
            <w:pPr>
              <w:pStyle w:val="Normal"/>
              <w:jc w:val="both"/>
              <w:rPr/>
            </w:pPr>
            <w:r>
              <w:rPr/>
              <w:t>Cost Per Point (“CPP”) Swap</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Notional Quantity:</w:t>
            </w:r>
          </w:p>
        </w:tc>
        <w:tc>
          <w:tcPr>
            <w:tcW w:w="6408" w:type="dxa"/>
            <w:tcBorders/>
          </w:tcPr>
          <w:p>
            <w:pPr>
              <w:pStyle w:val="Normal"/>
              <w:jc w:val="both"/>
              <w:rPr/>
            </w:pPr>
            <w:r>
              <w:rPr/>
              <w:t>[             ] Units of the Commodity</w:t>
            </w:r>
          </w:p>
          <w:p>
            <w:pPr>
              <w:pStyle w:val="Normal"/>
              <w:ind w:start="-3168" w:end="0"/>
              <w:jc w:val="both"/>
              <w:rPr/>
            </w:pPr>
            <w:r>
              <w:rPr/>
            </w:r>
          </w:p>
        </w:tc>
      </w:tr>
      <w:tr>
        <w:trPr/>
        <w:tc>
          <w:tcPr>
            <w:tcW w:w="3168" w:type="dxa"/>
            <w:tcBorders/>
          </w:tcPr>
          <w:p>
            <w:pPr>
              <w:pStyle w:val="Normal"/>
              <w:jc w:val="both"/>
              <w:rPr/>
            </w:pPr>
            <w:r>
              <w:rPr/>
              <w:t>Commodity:</w:t>
            </w:r>
          </w:p>
          <w:p>
            <w:pPr>
              <w:pStyle w:val="Normal"/>
              <w:jc w:val="both"/>
              <w:rPr/>
            </w:pPr>
            <w:r>
              <w:rPr/>
            </w:r>
          </w:p>
          <w:p>
            <w:pPr>
              <w:pStyle w:val="Normal"/>
              <w:ind w:firstLine="180" w:end="0"/>
              <w:jc w:val="both"/>
              <w:rPr/>
            </w:pPr>
            <w:r>
              <w:rPr/>
            </w:r>
          </w:p>
          <w:p>
            <w:pPr>
              <w:pStyle w:val="Normal"/>
              <w:ind w:firstLine="180" w:end="0"/>
              <w:jc w:val="both"/>
              <w:rPr/>
            </w:pPr>
            <w:r>
              <w:rPr/>
              <w:t>Daypart:</w:t>
            </w:r>
          </w:p>
          <w:p>
            <w:pPr>
              <w:pStyle w:val="Normal"/>
              <w:ind w:firstLine="180" w:end="0"/>
              <w:jc w:val="both"/>
              <w:rPr/>
            </w:pPr>
            <w:r>
              <w:rPr/>
            </w:r>
          </w:p>
          <w:p>
            <w:pPr>
              <w:pStyle w:val="Normal"/>
              <w:ind w:firstLine="180" w:end="0"/>
              <w:jc w:val="both"/>
              <w:rPr/>
            </w:pPr>
            <w:r>
              <w:rPr/>
              <w:t>Demographic Group:</w:t>
            </w:r>
          </w:p>
          <w:p>
            <w:pPr>
              <w:pStyle w:val="Normal"/>
              <w:ind w:firstLine="180" w:end="0"/>
              <w:jc w:val="both"/>
              <w:rPr/>
            </w:pPr>
            <w:r>
              <w:rPr/>
            </w:r>
          </w:p>
          <w:p>
            <w:pPr>
              <w:pStyle w:val="Normal"/>
              <w:ind w:firstLine="180" w:end="0"/>
              <w:jc w:val="both"/>
              <w:rPr/>
            </w:pPr>
            <w:r>
              <w:rPr/>
              <w:t>Month:</w:t>
            </w:r>
          </w:p>
        </w:tc>
        <w:tc>
          <w:tcPr>
            <w:tcW w:w="6408" w:type="dxa"/>
            <w:tcBorders/>
          </w:tcPr>
          <w:p>
            <w:pPr>
              <w:pStyle w:val="Normal"/>
              <w:jc w:val="both"/>
              <w:rPr/>
            </w:pPr>
            <w:r>
              <w:rPr/>
              <w:t>Points attributed to a Demographic Group during a Daypart in a Particular Month</w:t>
            </w:r>
          </w:p>
          <w:p>
            <w:pPr>
              <w:pStyle w:val="Normal"/>
              <w:jc w:val="both"/>
              <w:rPr/>
            </w:pPr>
            <w:r>
              <w:rPr/>
            </w:r>
          </w:p>
          <w:p>
            <w:pPr>
              <w:pStyle w:val="Normal"/>
              <w:jc w:val="both"/>
              <w:rPr/>
            </w:pPr>
            <w:r>
              <w:rPr/>
              <w:t>[                       ]</w:t>
            </w:r>
          </w:p>
          <w:p>
            <w:pPr>
              <w:pStyle w:val="Normal"/>
              <w:jc w:val="both"/>
              <w:rPr/>
            </w:pPr>
            <w:r>
              <w:rPr/>
            </w:r>
          </w:p>
          <w:p>
            <w:pPr>
              <w:pStyle w:val="Normal"/>
              <w:jc w:val="both"/>
              <w:rPr/>
            </w:pPr>
            <w:r>
              <w:rPr/>
              <w:t>[                        ]</w:t>
            </w:r>
          </w:p>
          <w:p>
            <w:pPr>
              <w:pStyle w:val="Normal"/>
              <w:jc w:val="both"/>
              <w:rPr/>
            </w:pPr>
            <w:r>
              <w:rPr/>
            </w:r>
          </w:p>
          <w:p>
            <w:pPr>
              <w:pStyle w:val="Normal"/>
              <w:jc w:val="both"/>
              <w:rPr/>
            </w:pPr>
            <w:r>
              <w:rPr/>
              <w:t>[                        ]</w:t>
            </w:r>
          </w:p>
        </w:tc>
      </w:tr>
      <w:tr>
        <w:trPr/>
        <w:tc>
          <w:tcPr>
            <w:tcW w:w="3168" w:type="dxa"/>
            <w:tcBorders/>
          </w:tcPr>
          <w:p>
            <w:pPr>
              <w:pStyle w:val="Normal"/>
              <w:snapToGrid w:val="false"/>
              <w:jc w:val="both"/>
              <w:rPr/>
            </w:pPr>
            <w:r>
              <w:rPr/>
            </w:r>
          </w:p>
          <w:p>
            <w:pPr>
              <w:pStyle w:val="Normal"/>
              <w:jc w:val="both"/>
              <w:rPr/>
            </w:pPr>
            <w:r>
              <w:rPr/>
              <w:t>Trade Date:</w:t>
            </w:r>
          </w:p>
        </w:tc>
        <w:tc>
          <w:tcPr>
            <w:tcW w:w="6408" w:type="dxa"/>
            <w:tcBorders/>
          </w:tcPr>
          <w:p>
            <w:pPr>
              <w:pStyle w:val="Normal"/>
              <w:snapToGrid w:val="false"/>
              <w:jc w:val="both"/>
              <w:rPr/>
            </w:pPr>
            <w:r>
              <w:rPr/>
            </w:r>
          </w:p>
          <w:p>
            <w:pPr>
              <w:pStyle w:val="Normal"/>
              <w:jc w:val="both"/>
              <w:rPr/>
            </w:pPr>
            <w:r>
              <w:rPr/>
              <w:t>[             ]</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Effective Date:</w:t>
            </w:r>
          </w:p>
        </w:tc>
        <w:tc>
          <w:tcPr>
            <w:tcW w:w="6408" w:type="dxa"/>
            <w:tcBorders/>
          </w:tcPr>
          <w:p>
            <w:pPr>
              <w:pStyle w:val="Normal"/>
              <w:jc w:val="both"/>
              <w:rPr/>
            </w:pPr>
            <w:r>
              <w:rPr/>
              <w:t>[             ]</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Termination Date:</w:t>
            </w:r>
          </w:p>
        </w:tc>
        <w:tc>
          <w:tcPr>
            <w:tcW w:w="6408" w:type="dxa"/>
            <w:tcBorders/>
          </w:tcPr>
          <w:p>
            <w:pPr>
              <w:pStyle w:val="Normal"/>
              <w:jc w:val="both"/>
              <w:rPr/>
            </w:pPr>
            <w:r>
              <w:rPr/>
              <w:t>[             ]</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Calculation Date:</w:t>
            </w:r>
          </w:p>
        </w:tc>
        <w:tc>
          <w:tcPr>
            <w:tcW w:w="6408" w:type="dxa"/>
            <w:tcBorders/>
          </w:tcPr>
          <w:p>
            <w:pPr>
              <w:pStyle w:val="Normal"/>
              <w:jc w:val="both"/>
              <w:rPr/>
            </w:pPr>
            <w:r>
              <w:rPr/>
              <w:t>The first Business Day after the Price Source is made available to subscribers thereof</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Payment Date(s):</w:t>
            </w:r>
          </w:p>
        </w:tc>
        <w:tc>
          <w:tcPr>
            <w:tcW w:w="6408" w:type="dxa"/>
            <w:tcBorders/>
          </w:tcPr>
          <w:p>
            <w:pPr>
              <w:pStyle w:val="Normal"/>
              <w:jc w:val="both"/>
              <w:rPr/>
            </w:pPr>
            <w:r>
              <w:rPr/>
              <w:t>The [fifth] Business Day after the Calculation Date,</w:t>
            </w:r>
            <w:r>
              <w:rPr>
                <w:b/>
              </w:rPr>
              <w:t xml:space="preserve"> provided, however,</w:t>
            </w:r>
            <w:r>
              <w:rPr/>
              <w:t xml:space="preserve"> that a one time adjustment in the amount paid will be made by the appropriate party, if applicable, if the Price Source makes any correction or adjustment to the reported Specified Price within 15 days after the Calculation Date.</w:t>
            </w:r>
          </w:p>
          <w:p>
            <w:pPr>
              <w:pStyle w:val="Normal"/>
              <w:jc w:val="both"/>
              <w:rPr/>
            </w:pPr>
            <w:r>
              <w:rPr/>
            </w:r>
          </w:p>
        </w:tc>
      </w:tr>
      <w:tr>
        <w:trPr/>
        <w:tc>
          <w:tcPr>
            <w:tcW w:w="3168" w:type="dxa"/>
            <w:tcBorders/>
          </w:tcPr>
          <w:p>
            <w:pPr>
              <w:pStyle w:val="Normal"/>
              <w:jc w:val="both"/>
              <w:rPr/>
            </w:pPr>
            <w:r>
              <w:rPr/>
              <w:t>Fixed Amount Details:</w:t>
            </w:r>
          </w:p>
          <w:p>
            <w:pPr>
              <w:pStyle w:val="Normal"/>
              <w:jc w:val="both"/>
              <w:rPr/>
            </w:pPr>
            <w:r>
              <w:rPr/>
            </w:r>
          </w:p>
          <w:p>
            <w:pPr>
              <w:pStyle w:val="Normal"/>
              <w:jc w:val="both"/>
              <w:rPr/>
            </w:pPr>
            <w:r>
              <w:rPr/>
              <w:t xml:space="preserve">    </w:t>
            </w:r>
            <w:r>
              <w:rPr/>
              <w:t>Fixed Price Payer:</w:t>
            </w:r>
          </w:p>
          <w:p>
            <w:pPr>
              <w:pStyle w:val="Normal"/>
              <w:jc w:val="both"/>
              <w:rPr/>
            </w:pPr>
            <w:r>
              <w:rPr/>
            </w:r>
          </w:p>
          <w:p>
            <w:pPr>
              <w:pStyle w:val="Normal"/>
              <w:jc w:val="both"/>
              <w:rPr/>
            </w:pPr>
            <w:r>
              <w:rPr/>
              <w:t xml:space="preserve">    </w:t>
            </w:r>
            <w:r>
              <w:rPr/>
              <w:t>Fixed Price:</w:t>
            </w:r>
          </w:p>
          <w:p>
            <w:pPr>
              <w:pStyle w:val="Normal"/>
              <w:jc w:val="both"/>
              <w:rPr/>
            </w:pPr>
            <w:r>
              <w:rPr/>
            </w:r>
          </w:p>
          <w:p>
            <w:pPr>
              <w:pStyle w:val="Normal"/>
              <w:jc w:val="both"/>
              <w:rPr/>
            </w:pPr>
            <w:r>
              <w:rPr/>
              <w:t xml:space="preserve">    </w:t>
            </w:r>
            <w:r>
              <w:rPr/>
              <w:t>Fixed Amount:</w:t>
            </w:r>
          </w:p>
          <w:p>
            <w:pPr>
              <w:pStyle w:val="Normal"/>
              <w:jc w:val="both"/>
              <w:rPr/>
            </w:pPr>
            <w:r>
              <w:rPr/>
            </w:r>
          </w:p>
          <w:p>
            <w:pPr>
              <w:pStyle w:val="Normal"/>
              <w:jc w:val="both"/>
              <w:rPr/>
            </w:pPr>
            <w:r>
              <w:rPr/>
            </w:r>
          </w:p>
          <w:p>
            <w:pPr>
              <w:pStyle w:val="Normal"/>
              <w:jc w:val="both"/>
              <w:rPr/>
            </w:pPr>
            <w:r>
              <w:rPr/>
              <w:t>Floating Amount Details:</w:t>
            </w:r>
          </w:p>
          <w:p>
            <w:pPr>
              <w:pStyle w:val="Normal"/>
              <w:jc w:val="both"/>
              <w:rPr/>
            </w:pPr>
            <w:r>
              <w:rPr/>
            </w:r>
          </w:p>
        </w:tc>
        <w:tc>
          <w:tcPr>
            <w:tcW w:w="6408" w:type="dxa"/>
            <w:tcBorders/>
          </w:tcPr>
          <w:p>
            <w:pPr>
              <w:pStyle w:val="Normal"/>
              <w:snapToGrid w:val="false"/>
              <w:jc w:val="both"/>
              <w:rPr/>
            </w:pPr>
            <w:r>
              <w:rPr/>
            </w:r>
          </w:p>
          <w:p>
            <w:pPr>
              <w:pStyle w:val="Normal"/>
              <w:jc w:val="both"/>
              <w:rPr/>
            </w:pPr>
            <w:r>
              <w:rPr/>
            </w:r>
          </w:p>
          <w:p>
            <w:pPr>
              <w:pStyle w:val="Normal"/>
              <w:jc w:val="both"/>
              <w:rPr/>
            </w:pPr>
            <w:r>
              <w:rPr/>
              <w:t xml:space="preserve"> </w:t>
            </w:r>
            <w:r>
              <w:rPr/>
              <w:t>[EBS/Counterparty]</w:t>
            </w:r>
          </w:p>
          <w:p>
            <w:pPr>
              <w:pStyle w:val="Normal"/>
              <w:jc w:val="both"/>
              <w:rPr/>
            </w:pPr>
            <w:r>
              <w:rPr/>
            </w:r>
          </w:p>
          <w:p>
            <w:pPr>
              <w:pStyle w:val="Normal"/>
              <w:jc w:val="both"/>
              <w:rPr/>
            </w:pPr>
            <w:r>
              <w:rPr/>
              <w:t>$[       ] per Point</w:t>
            </w:r>
          </w:p>
          <w:p>
            <w:pPr>
              <w:pStyle w:val="Normal"/>
              <w:jc w:val="both"/>
              <w:rPr/>
            </w:pPr>
            <w:r>
              <w:rPr/>
            </w:r>
          </w:p>
          <w:p>
            <w:pPr>
              <w:pStyle w:val="Normal"/>
              <w:jc w:val="both"/>
              <w:rPr/>
            </w:pPr>
            <w:r>
              <w:rPr/>
              <w:t>$[            ] (Fixed Price x Notional Quantity)</w:t>
            </w:r>
          </w:p>
        </w:tc>
      </w:tr>
      <w:tr>
        <w:trPr/>
        <w:tc>
          <w:tcPr>
            <w:tcW w:w="3168" w:type="dxa"/>
            <w:tcBorders/>
          </w:tcPr>
          <w:p>
            <w:pPr>
              <w:pStyle w:val="Normal"/>
              <w:jc w:val="both"/>
              <w:rPr/>
            </w:pPr>
            <w:r>
              <w:rPr/>
              <w:t xml:space="preserve">  </w:t>
            </w:r>
            <w:r>
              <w:rPr/>
              <w:t>Floating Price Payer:</w:t>
            </w:r>
          </w:p>
          <w:p>
            <w:pPr>
              <w:pStyle w:val="Normal"/>
              <w:jc w:val="both"/>
              <w:rPr/>
            </w:pPr>
            <w:r>
              <w:rPr/>
            </w:r>
          </w:p>
          <w:p>
            <w:pPr>
              <w:pStyle w:val="Normal"/>
              <w:jc w:val="both"/>
              <w:rPr/>
            </w:pPr>
            <w:r>
              <w:rPr/>
              <w:t xml:space="preserve">  </w:t>
            </w:r>
            <w:r>
              <w:rPr/>
              <w:t>Commodity Reference Price:</w:t>
            </w:r>
          </w:p>
          <w:p>
            <w:pPr>
              <w:pStyle w:val="Normal"/>
              <w:jc w:val="both"/>
              <w:rPr/>
            </w:pPr>
            <w:r>
              <w:rPr/>
            </w:r>
          </w:p>
          <w:p>
            <w:pPr>
              <w:pStyle w:val="Normal"/>
              <w:ind w:firstLine="540" w:end="0"/>
              <w:jc w:val="both"/>
              <w:rPr/>
            </w:pPr>
            <w:r>
              <w:rPr/>
              <w:t>Price Source:</w:t>
            </w:r>
          </w:p>
          <w:p>
            <w:pPr>
              <w:pStyle w:val="Normal"/>
              <w:ind w:firstLine="540" w:end="0"/>
              <w:jc w:val="both"/>
              <w:rPr/>
            </w:pPr>
            <w:r>
              <w:rPr/>
            </w:r>
          </w:p>
          <w:p>
            <w:pPr>
              <w:pStyle w:val="Normal"/>
              <w:ind w:firstLine="540" w:end="0"/>
              <w:jc w:val="both"/>
              <w:rPr/>
            </w:pPr>
            <w:r>
              <w:rPr/>
            </w:r>
          </w:p>
          <w:p>
            <w:pPr>
              <w:pStyle w:val="Normal"/>
              <w:ind w:firstLine="540" w:end="0"/>
              <w:jc w:val="both"/>
              <w:rPr/>
            </w:pPr>
            <w:r>
              <w:rPr/>
              <w:t>Floating Price:</w:t>
            </w:r>
          </w:p>
          <w:p>
            <w:pPr>
              <w:pStyle w:val="Normal"/>
              <w:ind w:firstLine="540" w:end="0"/>
              <w:jc w:val="both"/>
              <w:rPr/>
            </w:pPr>
            <w:r>
              <w:rPr/>
            </w:r>
          </w:p>
          <w:p>
            <w:pPr>
              <w:pStyle w:val="Normal"/>
              <w:ind w:firstLine="540" w:end="0"/>
              <w:jc w:val="both"/>
              <w:rPr/>
            </w:pPr>
            <w:r>
              <w:rPr/>
            </w:r>
          </w:p>
          <w:p>
            <w:pPr>
              <w:pStyle w:val="Normal"/>
              <w:ind w:firstLine="540" w:end="0"/>
              <w:jc w:val="both"/>
              <w:rPr/>
            </w:pPr>
            <w:r>
              <w:rPr/>
              <w:t>Floating Amount:</w:t>
            </w:r>
          </w:p>
        </w:tc>
        <w:tc>
          <w:tcPr>
            <w:tcW w:w="6408" w:type="dxa"/>
            <w:tcBorders/>
          </w:tcPr>
          <w:p>
            <w:pPr>
              <w:pStyle w:val="Normal"/>
              <w:jc w:val="both"/>
              <w:rPr/>
            </w:pPr>
            <w:r>
              <w:rPr/>
              <w:t>[EBS/Counterparty]</w:t>
            </w:r>
          </w:p>
          <w:p>
            <w:pPr>
              <w:pStyle w:val="Normal"/>
              <w:jc w:val="both"/>
              <w:rPr/>
            </w:pPr>
            <w:r>
              <w:rPr/>
            </w:r>
          </w:p>
          <w:p>
            <w:pPr>
              <w:pStyle w:val="Normal"/>
              <w:jc w:val="both"/>
              <w:rPr/>
            </w:pPr>
            <w:r>
              <w:rPr/>
            </w:r>
          </w:p>
          <w:p>
            <w:pPr>
              <w:pStyle w:val="Normal"/>
              <w:jc w:val="both"/>
              <w:rPr/>
            </w:pPr>
            <w:r>
              <w:rPr/>
            </w:r>
          </w:p>
          <w:p>
            <w:pPr>
              <w:pStyle w:val="Normal"/>
              <w:jc w:val="both"/>
              <w:rPr/>
            </w:pPr>
            <w:r>
              <w:rPr/>
              <w:t>The first monthly report of quarterly CPP data published by Spot Quotations And Data., SQAD</w:t>
            </w:r>
            <w:r>
              <w:rPr>
                <w:rFonts w:eastAsia="Symbol" w:cs="Symbol" w:ascii="Symbol" w:hAnsi="Symbol"/>
              </w:rPr>
              <w:sym w:font="Symbol" w:char="f0e3"/>
            </w:r>
            <w:r>
              <w:rPr/>
              <w:t xml:space="preserve"> after the last day of the Month</w:t>
            </w:r>
          </w:p>
          <w:p>
            <w:pPr>
              <w:pStyle w:val="Normal"/>
              <w:jc w:val="both"/>
              <w:rPr/>
            </w:pPr>
            <w:r>
              <w:rPr/>
            </w:r>
          </w:p>
          <w:p>
            <w:pPr>
              <w:pStyle w:val="Normal"/>
              <w:jc w:val="both"/>
              <w:rPr/>
            </w:pPr>
            <w:r>
              <w:rPr/>
              <w:t>The CPP reported by the Price Source as the average CPP for the quarter which includes the Month applicable to the Commodity</w:t>
            </w:r>
          </w:p>
          <w:p>
            <w:pPr>
              <w:pStyle w:val="Normal"/>
              <w:jc w:val="both"/>
              <w:rPr/>
            </w:pPr>
            <w:r>
              <w:rPr/>
            </w:r>
          </w:p>
          <w:p>
            <w:pPr>
              <w:pStyle w:val="Normal"/>
              <w:jc w:val="both"/>
              <w:rPr/>
            </w:pPr>
            <w:r>
              <w:rPr/>
              <w:t>Floating Price x Notional Quantity</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t>Market Disruption:</w:t>
            </w:r>
          </w:p>
          <w:p>
            <w:pPr>
              <w:pStyle w:val="Normal"/>
              <w:jc w:val="both"/>
              <w:rPr/>
            </w:pPr>
            <w:r>
              <w:rPr/>
            </w:r>
          </w:p>
          <w:p>
            <w:pPr>
              <w:pStyle w:val="Normal"/>
              <w:jc w:val="both"/>
              <w:rPr/>
            </w:pPr>
            <w:r>
              <w:rPr/>
              <w:t xml:space="preserve">        </w:t>
            </w:r>
            <w:r>
              <w:rPr/>
              <w:t>[Alternative Floating Price      Source:]</w:t>
            </w:r>
          </w:p>
          <w:p>
            <w:pPr>
              <w:pStyle w:val="Normal"/>
              <w:jc w:val="both"/>
              <w:rPr/>
            </w:pPr>
            <w:r>
              <w:rPr/>
            </w:r>
          </w:p>
          <w:p>
            <w:pPr>
              <w:pStyle w:val="Normal"/>
              <w:jc w:val="both"/>
              <w:rPr/>
            </w:pPr>
            <w:r>
              <w:rPr/>
            </w:r>
          </w:p>
        </w:tc>
        <w:tc>
          <w:tcPr>
            <w:tcW w:w="6408" w:type="dxa"/>
            <w:tcBorders/>
          </w:tcPr>
          <w:p>
            <w:pPr>
              <w:pStyle w:val="Normal"/>
              <w:snapToGrid w:val="false"/>
              <w:jc w:val="both"/>
              <w:rPr/>
            </w:pPr>
            <w:r>
              <w:rPr/>
            </w:r>
          </w:p>
          <w:p>
            <w:pPr>
              <w:pStyle w:val="Normal"/>
              <w:jc w:val="both"/>
              <w:rPr/>
            </w:pPr>
            <w:r>
              <w:rPr/>
            </w:r>
          </w:p>
          <w:p>
            <w:pPr>
              <w:pStyle w:val="Normal"/>
              <w:jc w:val="both"/>
              <w:rPr/>
            </w:pPr>
            <w:r>
              <w:rPr/>
              <w:t>[                                                                                           ]</w:t>
            </w:r>
          </w:p>
          <w:p>
            <w:pPr>
              <w:pStyle w:val="Normal"/>
              <w:jc w:val="both"/>
              <w:rPr/>
            </w:pPr>
            <w:r>
              <w:rPr/>
            </w:r>
          </w:p>
          <w:p>
            <w:pPr>
              <w:pStyle w:val="Normal"/>
              <w:jc w:val="both"/>
              <w:rPr/>
            </w:pPr>
            <w:r>
              <w:rPr/>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r>
        <w:trPr/>
        <w:tc>
          <w:tcPr>
            <w:tcW w:w="3168" w:type="dxa"/>
            <w:tcBorders/>
          </w:tcPr>
          <w:p>
            <w:pPr>
              <w:pStyle w:val="Normal"/>
              <w:jc w:val="both"/>
              <w:rPr/>
            </w:pPr>
            <w:r>
              <w:rPr>
                <w:b/>
              </w:rPr>
              <w:t xml:space="preserve">3.  </w:t>
            </w:r>
            <w:r>
              <w:rPr>
                <w:u w:val="single"/>
              </w:rPr>
              <w:t>Calculation Agent</w:t>
            </w:r>
            <w:r>
              <w:rPr>
                <w:b/>
                <w:u w:val="single"/>
              </w:rPr>
              <w:t>:</w:t>
            </w:r>
          </w:p>
        </w:tc>
        <w:tc>
          <w:tcPr>
            <w:tcW w:w="6408" w:type="dxa"/>
            <w:tcBorders/>
          </w:tcPr>
          <w:p>
            <w:pPr>
              <w:pStyle w:val="Normal"/>
              <w:jc w:val="both"/>
              <w:rPr/>
            </w:pPr>
            <w:r>
              <w:rPr/>
              <w:t>EBS</w:t>
            </w:r>
          </w:p>
        </w:tc>
      </w:tr>
      <w:tr>
        <w:trPr/>
        <w:tc>
          <w:tcPr>
            <w:tcW w:w="3168" w:type="dxa"/>
            <w:tcBorders/>
          </w:tcPr>
          <w:p>
            <w:pPr>
              <w:pStyle w:val="Normal"/>
              <w:snapToGrid w:val="false"/>
              <w:jc w:val="both"/>
              <w:rPr/>
            </w:pPr>
            <w:r>
              <w:rPr/>
            </w:r>
          </w:p>
        </w:tc>
        <w:tc>
          <w:tcPr>
            <w:tcW w:w="6408" w:type="dxa"/>
            <w:tcBorders/>
          </w:tcPr>
          <w:p>
            <w:pPr>
              <w:pStyle w:val="Normal"/>
              <w:snapToGrid w:val="false"/>
              <w:jc w:val="both"/>
              <w:rPr/>
            </w:pPr>
            <w:r>
              <w:rPr/>
            </w:r>
          </w:p>
        </w:tc>
      </w:tr>
    </w:tbl>
    <w:p>
      <w:pPr>
        <w:pStyle w:val="BodyText2"/>
        <w:rPr>
          <w:color w:val="auto"/>
        </w:rPr>
      </w:pPr>
      <w:r>
        <w:rPr>
          <w:color w:val="auto"/>
        </w:rPr>
      </w:r>
    </w:p>
    <w:p>
      <w:pPr>
        <w:pStyle w:val="BodyText2"/>
        <w:rPr/>
      </w:pPr>
      <w:r>
        <w:rPr>
          <w:b/>
          <w:color w:val="auto"/>
        </w:rPr>
        <w:t xml:space="preserve">4.  </w:t>
      </w:r>
      <w:r>
        <w:rPr>
          <w:color w:val="auto"/>
          <w:u w:val="single"/>
        </w:rPr>
        <w:t>Payments to EBS:</w:t>
      </w:r>
    </w:p>
    <w:p>
      <w:pPr>
        <w:pStyle w:val="BodyText2"/>
        <w:ind w:start="360" w:end="0"/>
        <w:rPr/>
      </w:pPr>
      <w:r>
        <w:rPr/>
        <w:tab/>
        <w:tab/>
        <w:tab/>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Texas – Dallas]</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     [Enron Broadband Services, L.P.]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w:t>
            </w:r>
            <w:r>
              <w:rPr>
                <w:rFonts w:cs="Arial Narrow" w:ascii="Arial Narrow" w:hAnsi="Arial Narrow"/>
              </w:rPr>
              <w:t>3751443324]</w:t>
            </w:r>
          </w:p>
        </w:tc>
      </w:tr>
      <w:tr>
        <w:trPr/>
        <w:tc>
          <w:tcPr>
            <w:tcW w:w="5499" w:type="dxa"/>
            <w:gridSpan w:val="2"/>
            <w:tcBorders/>
          </w:tcPr>
          <w:p>
            <w:pPr>
              <w:pStyle w:val="Normal"/>
              <w:snapToGrid w:val="false"/>
              <w:ind w:start="2862" w:end="0"/>
              <w:rPr/>
            </w:pPr>
            <w:r>
              <w:rPr/>
            </w:r>
          </w:p>
          <w:p>
            <w:pPr>
              <w:pStyle w:val="Normal"/>
              <w:ind w:start="2862" w:end="0"/>
              <w:rPr/>
            </w:pPr>
            <w:r>
              <w:rPr/>
              <w:t>Fed. ABA No.</w:t>
            </w:r>
          </w:p>
        </w:tc>
        <w:tc>
          <w:tcPr>
            <w:tcW w:w="5499" w:type="dxa"/>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w:t>
            </w:r>
            <w:r>
              <w:rPr>
                <w:rFonts w:cs="Arial Narrow" w:ascii="Arial Narrow" w:hAnsi="Arial Narrow"/>
              </w:rPr>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1800" w:start="2502" w:end="0"/>
              <w:rPr/>
            </w:pPr>
            <w:r>
              <w:rPr/>
              <w:tab/>
            </w:r>
            <w:r>
              <w:rPr>
                <w:u w:val="single"/>
              </w:rPr>
              <w:t>Payments to Counterparty:</w:t>
            </w:r>
          </w:p>
        </w:tc>
        <w:tc>
          <w:tcPr>
            <w:tcW w:w="5499" w:type="dxa"/>
            <w:tcBorders/>
          </w:tcPr>
          <w:p>
            <w:pPr>
              <w:pStyle w:val="Normal"/>
              <w:keepNext w:val="true"/>
              <w:snapToGrid w:val="false"/>
              <w:rPr/>
            </w:pPr>
            <w:r>
              <w:rPr/>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 [             ]</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 [             ]</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 [             ]</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9" w:type="dxa"/>
            <w:gridSpan w:val="2"/>
            <w:tcBorders/>
          </w:tcPr>
          <w:p>
            <w:pPr>
              <w:pStyle w:val="Normal"/>
              <w:keepNext w:val="true"/>
              <w:ind w:start="2862" w:end="0"/>
              <w:rPr/>
            </w:pPr>
            <w:r>
              <w:rPr/>
              <w:t>Fed. ABA No.</w:t>
            </w:r>
          </w:p>
        </w:tc>
        <w:tc>
          <w:tcPr>
            <w:tcW w:w="5499" w:type="dxa"/>
            <w:tcBorders/>
          </w:tcPr>
          <w:p>
            <w:pPr>
              <w:pStyle w:val="Normal"/>
              <w:keepNext w:val="true"/>
              <w:tabs>
                <w:tab w:val="clear" w:pos="720"/>
                <w:tab w:val="left" w:pos="360" w:leader="none"/>
              </w:tabs>
              <w:ind w:hanging="360" w:start="360" w:end="0"/>
              <w:rPr/>
            </w:pPr>
            <w:r>
              <w:rPr/>
              <w:t>: [             ]</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rPr/>
            </w:pPr>
            <w:r>
              <w:rPr/>
              <w:t xml:space="preserve">  </w:t>
            </w:r>
            <w:r>
              <w:rPr/>
              <w:t>[             ]</w:t>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numPr>
          <w:ilvl w:val="0"/>
          <w:numId w:val="3"/>
        </w:numPr>
        <w:spacing w:lineRule="exact" w:line="240" w:before="240" w:after="0"/>
        <w:jc w:val="both"/>
        <w:rPr/>
      </w:pPr>
      <w:r>
        <w:rPr>
          <w:b/>
          <w:u w:val="single"/>
        </w:rPr>
        <w:t>Representation.</w:t>
      </w:r>
      <w:r>
        <w:rPr>
          <w:b/>
        </w:rPr>
        <w:t xml:space="preserve">  </w:t>
      </w:r>
      <w:r>
        <w:rPr/>
        <w:t>EBS and Counterparty each represent that as of the Trade Date, it constitutes an “eligible swap participant” as such term is defined in Rule 35.1(b)(2) of the Commodity Futures Trading Commission, 17 C.F.R. § 35.1(b)(2) (1993).</w:t>
      </w:r>
    </w:p>
    <w:p>
      <w:pPr>
        <w:pStyle w:val="Normal"/>
        <w:jc w:val="both"/>
        <w:rPr/>
      </w:pPr>
      <w:r>
        <w:rPr/>
      </w:r>
    </w:p>
    <w:p>
      <w:pPr>
        <w:pStyle w:val="Normal"/>
        <w:jc w:val="both"/>
        <w:rPr/>
      </w:pPr>
      <w:r>
        <w:rPr/>
        <w:t>Please promptly confirm that the foregoing correctly sets forth the terms of the Transaction entered into between us by executing the copy of this Confirmation and returning it to us within two (2) Business Days after the date first above written via facsimile to (713) [        ], Attention: [Documentation Manager]</w:t>
      </w:r>
    </w:p>
    <w:p>
      <w:pPr>
        <w:pStyle w:val="Normal"/>
        <w:jc w:val="both"/>
        <w:rPr/>
      </w:pPr>
      <w:r>
        <w:rPr/>
      </w:r>
    </w:p>
    <w:p>
      <w:pPr>
        <w:pStyle w:val="Normal"/>
        <w:jc w:val="both"/>
        <w:rPr/>
      </w:pPr>
      <w:r>
        <w:rPr/>
        <w:t>Enron Broadband Services, L.P. is pleased to have entered into this Transaction with you.</w:t>
      </w:r>
    </w:p>
    <w:p>
      <w:pPr>
        <w:pStyle w:val="Normal"/>
        <w:keepNext w:val="true"/>
        <w:rPr/>
      </w:pPr>
      <w:r>
        <w:rPr/>
      </w:r>
    </w:p>
    <w:p>
      <w:pPr>
        <w:pStyle w:val="Normal"/>
        <w:keepNext w:val="true"/>
        <w:rPr/>
      </w:pPr>
      <w:r>
        <w:rPr/>
        <w:t>Yours sincerely,</w:t>
      </w:r>
    </w:p>
    <w:p>
      <w:pPr>
        <w:pStyle w:val="Normal"/>
        <w:keepNext w:val="true"/>
        <w:rPr/>
      </w:pPr>
      <w:r>
        <w:rPr/>
      </w:r>
    </w:p>
    <w:p>
      <w:pPr>
        <w:pStyle w:val="Normal"/>
        <w:keepNext w:val="true"/>
        <w:rPr>
          <w:b/>
        </w:rPr>
      </w:pPr>
      <w:r>
        <w:rPr>
          <w:b/>
        </w:rPr>
        <w:t>ENRON BROADBAND SERVICES, L.P.</w:t>
      </w:r>
    </w:p>
    <w:p>
      <w:pPr>
        <w:pStyle w:val="Normal"/>
        <w:keepNext w:val="true"/>
        <w:rPr>
          <w:b/>
        </w:rPr>
      </w:pPr>
      <w:r>
        <w:rPr>
          <w:b/>
        </w:rPr>
      </w:r>
    </w:p>
    <w:p>
      <w:pPr>
        <w:pStyle w:val="Normal"/>
        <w:keepNext w:val="true"/>
        <w:rPr>
          <w:b/>
        </w:rPr>
      </w:pPr>
      <w:r>
        <w:rPr>
          <w:b/>
        </w:rPr>
        <w:t>By: ENRON BANDWIDTH, INC.,</w:t>
      </w:r>
    </w:p>
    <w:p>
      <w:pPr>
        <w:pStyle w:val="Normal"/>
        <w:keepNext w:val="true"/>
        <w:rPr>
          <w:b/>
        </w:rPr>
      </w:pPr>
      <w:r>
        <w:rPr>
          <w:b/>
        </w:rPr>
        <w:tab/>
        <w:tab/>
        <w:t>its General Partner</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rPr/>
      </w:pPr>
      <w:r>
        <w:rPr/>
      </w:r>
    </w:p>
    <w:p>
      <w:pPr>
        <w:pStyle w:val="Heading3"/>
        <w:ind w:hanging="0" w:start="0"/>
        <w:rPr/>
      </w:pPr>
      <w:r>
        <w:rPr/>
        <w:t>[CP NAME]</w:t>
      </w:r>
    </w:p>
    <w:p>
      <w:pPr>
        <w:pStyle w:val="Normal"/>
        <w:keepNext w:val="true"/>
        <w:rPr/>
      </w:pPr>
      <w:r>
        <w:rPr/>
      </w:r>
    </w:p>
    <w:p>
      <w:pPr>
        <w:pStyle w:val="Normal"/>
        <w:keepNext w:val="true"/>
        <w:rPr>
          <w:sz w:val="22"/>
        </w:rPr>
      </w:pPr>
      <w:r>
        <w:rPr>
          <w:sz w:val="22"/>
        </w:rPr>
        <w:t>By:</w:t>
        <w:tab/>
        <w:t>_____________________________</w:t>
      </w:r>
    </w:p>
    <w:p>
      <w:pPr>
        <w:pStyle w:val="Normal"/>
        <w:keepNext w:val="true"/>
        <w:rPr>
          <w:sz w:val="22"/>
        </w:rPr>
      </w:pPr>
      <w:r>
        <w:rPr>
          <w:sz w:val="22"/>
        </w:rPr>
        <w:t>Name:</w:t>
        <w:tab/>
        <w:t>_____________________________</w:t>
      </w:r>
    </w:p>
    <w:p>
      <w:pPr>
        <w:pStyle w:val="Normal"/>
        <w:keepNext w:val="true"/>
        <w:rPr>
          <w:sz w:val="22"/>
        </w:rPr>
      </w:pPr>
      <w:r>
        <w:rPr>
          <w:sz w:val="22"/>
        </w:rPr>
        <w:t>Title:</w:t>
        <w:tab/>
        <w:t>_____________________________</w:t>
      </w:r>
    </w:p>
    <w:p>
      <w:pPr>
        <w:pStyle w:val="Normal"/>
        <w:keepNext w:val="true"/>
        <w:rPr>
          <w:sz w:val="22"/>
        </w:rPr>
      </w:pPr>
      <w:r>
        <w:rPr>
          <w:sz w:val="22"/>
        </w:rPr>
      </w:r>
    </w:p>
    <w:sectPr>
      <w:footerReference w:type="default" r:id="rId3"/>
      <w:type w:val="nextPage"/>
      <w:pgSz w:w="12240" w:h="15840"/>
      <w:pgMar w:left="1008" w:right="1008" w:gutter="0" w:header="0" w:top="1008" w:footer="432"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Dutch Roman   Roman 8) (FW">
    <w:altName w:val=" Por"/>
    <w:charset w:val="00" w:characterSet="windows-1252"/>
    <w:family w:val="roman"/>
    <w:pitch w:val="default"/>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/mnt/main-storage/datasets/enron-docs/doc/ConfirmationAdvertisingTimeSwap.doc</w:t>
    </w:r>
    <w:r>
      <w:rPr>
        <w:sz w:val="16"/>
        <w:lang w:eastAsia="en-US"/>
      </w:rPr>
      <w:fldChar w:fldCharType="end"/>
    </w:r>
    <w:r>
      <w:rPr>
        <w:sz w:val="16"/>
      </w:rPr>
      <w:t>)</w:t>
    </w:r>
  </w:p>
  <w:p>
    <w:pPr>
      <w:pStyle w:val="Footer"/>
      <w:rPr>
        <w:sz w:val="16"/>
      </w:rPr>
    </w:pPr>
    <w:r>
      <w:rPr>
        <w:sz w:val="16"/>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360"/>
        </w:tabs>
        <w:ind w:start="360" w:hanging="360"/>
      </w:pPr>
      <w:rPr>
        <w:b/>
      </w:rPr>
    </w:lvl>
  </w:abstractNum>
  <w:abstractNum w:abstractNumId="3">
    <w:lvl w:ilvl="0">
      <w:start w:val="5"/>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Tms Rmn" w:hAnsi="Tms Rmn" w:cs="Tms Rmn"/>
      <w:sz w:val="22"/>
    </w:rPr>
  </w:style>
  <w:style w:type="paragraph" w:styleId="Heading3">
    <w:name w:val="heading 3"/>
    <w:basedOn w:val="Normal"/>
    <w:next w:val="Normal"/>
    <w:qFormat/>
    <w:pPr>
      <w:keepNext w:val="true"/>
      <w:numPr>
        <w:ilvl w:val="2"/>
        <w:numId w:val="1"/>
      </w:numPr>
      <w:outlineLvl w:val="2"/>
    </w:pPr>
    <w:rPr>
      <w:b/>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tabs>
        <w:tab w:val="clear" w:pos="720"/>
        <w:tab w:val="left" w:pos="1170" w:leader="none"/>
      </w:tabs>
      <w:spacing w:before="240" w:after="0"/>
      <w:ind w:hanging="0" w:start="1166" w:end="0"/>
      <w:jc w:val="both"/>
      <w:outlineLvl w:val="4"/>
    </w:pPr>
    <w:rPr>
      <w:color w:val="000000"/>
      <w:u w:val="single"/>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b/>
      <w:u w:val="single"/>
    </w:rPr>
  </w:style>
  <w:style w:type="character" w:styleId="WW8Num8z0">
    <w:name w:val="WW8Num8z0"/>
    <w:qFormat/>
    <w:rPr>
      <w:b/>
      <w:u w:val="single"/>
    </w:rPr>
  </w:style>
  <w:style w:type="character" w:styleId="WW8Num9z0">
    <w:name w:val="WW8Num9z0"/>
    <w:qFormat/>
    <w:rPr/>
  </w:style>
  <w:style w:type="character" w:styleId="WW8Num10z0">
    <w:name w:val="WW8Num10z0"/>
    <w:qFormat/>
    <w:rPr>
      <w:b/>
      <w:u w:val="single"/>
    </w:rPr>
  </w:style>
  <w:style w:type="character" w:styleId="WW8Num11z0">
    <w:name w:val="WW8Num11z0"/>
    <w:qFormat/>
    <w:rPr/>
  </w:style>
  <w:style w:type="character" w:styleId="WW8Num13z0">
    <w:name w:val="WW8Num13z0"/>
    <w:qFormat/>
    <w:rPr>
      <w:b/>
    </w:rPr>
  </w:style>
  <w:style w:type="character" w:styleId="WW8Num14z0">
    <w:name w:val="WW8Num14z0"/>
    <w:qFormat/>
    <w:rPr>
      <w:b/>
    </w:rPr>
  </w:style>
  <w:style w:type="character" w:styleId="WW8Num15z0">
    <w:name w:val="WW8Num15z0"/>
    <w:qFormat/>
    <w:rPr>
      <w:b/>
    </w:rPr>
  </w:style>
  <w:style w:type="character" w:styleId="WW8Num16z0">
    <w:name w:val="WW8Num16z0"/>
    <w:qFormat/>
    <w:rPr>
      <w:b/>
    </w:rPr>
  </w:style>
  <w:style w:type="character" w:styleId="WW8Num18z0">
    <w:name w:val="WW8Num18z0"/>
    <w:qFormat/>
    <w:rPr>
      <w:b/>
      <w:u w:val="single"/>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b/>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tabs>
        <w:tab w:val="left" w:pos="720" w:leader="none"/>
      </w:tabs>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4"/>
    </w:rPr>
  </w:style>
  <w:style w:type="paragraph" w:styleId="Footer">
    <w:name w:val="footer"/>
    <w:basedOn w:val="Normal"/>
    <w:pPr>
      <w:tabs>
        <w:tab w:val="clear" w:pos="720"/>
        <w:tab w:val="center" w:pos="4320" w:leader="none"/>
        <w:tab w:val="right" w:pos="8640" w:leader="none"/>
      </w:tabs>
    </w:pPr>
    <w:rPr>
      <w:sz w:val="24"/>
    </w:rPr>
  </w:style>
  <w:style w:type="paragraph" w:styleId="Hidden">
    <w:name w:val="Hidden"/>
    <w:basedOn w:val="Normal"/>
    <w:next w:val="Normal"/>
    <w:qFormat/>
    <w:pPr/>
    <w:rPr>
      <w:rFonts w:ascii="Tms Rmn" w:hAnsi="Tms Rmn" w:cs="Tms Rmn"/>
      <w:vanish/>
      <w:color w:val="FF0000"/>
      <w:sz w:val="22"/>
    </w:rPr>
  </w:style>
  <w:style w:type="paragraph" w:styleId="Expanded">
    <w:name w:val="Expanded"/>
    <w:basedOn w:val="Normal"/>
    <w:next w:val="Normal"/>
    <w:qFormat/>
    <w:pPr>
      <w:spacing w:before="0" w:after="240"/>
      <w:jc w:val="center"/>
    </w:pPr>
    <w:rPr>
      <w:rFonts w:ascii="Tms Rmn" w:hAnsi="Tms Rmn" w:cs="Tms Rmn"/>
      <w:b/>
      <w:caps/>
      <w:spacing w:val="60"/>
      <w:sz w:val="22"/>
    </w:rPr>
  </w:style>
  <w:style w:type="paragraph" w:styleId="Justified">
    <w:name w:val="Justified"/>
    <w:basedOn w:val="Normal"/>
    <w:next w:val="Heading2"/>
    <w:qFormat/>
    <w:pPr>
      <w:spacing w:before="0" w:after="120"/>
      <w:jc w:val="both"/>
    </w:pPr>
    <w:rPr>
      <w:rFonts w:ascii="Tms Rmn" w:hAnsi="Tms Rmn" w:cs="Tms Rmn"/>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BodyTextIndent">
    <w:name w:val="Body Text Indent"/>
    <w:basedOn w:val="Normal"/>
    <w:pPr>
      <w:tabs>
        <w:tab w:val="clear" w:pos="720"/>
        <w:tab w:val="left" w:pos="1440" w:leader="none"/>
      </w:tabs>
      <w:spacing w:lineRule="atLeast" w:line="240"/>
      <w:ind w:hanging="630" w:start="1440" w:end="0"/>
      <w:jc w:val="both"/>
    </w:pPr>
    <w:rPr/>
  </w:style>
  <w:style w:type="paragraph" w:styleId="BodyText2">
    <w:name w:val="Body Text 2"/>
    <w:basedOn w:val="Normal"/>
    <w:qFormat/>
    <w:pPr/>
    <w:rPr>
      <w:color w:val="000000"/>
    </w:rPr>
  </w:style>
  <w:style w:type="paragraph" w:styleId="BodyTextIndent2">
    <w:name w:val="Body Text Indent 2"/>
    <w:basedOn w:val="Normal"/>
    <w:qFormat/>
    <w:pPr>
      <w:ind w:hanging="0" w:start="720" w:end="0"/>
      <w:jc w:val="both"/>
    </w:pPr>
    <w:rPr>
      <w:color w:val="000000"/>
    </w:rPr>
  </w:style>
  <w:style w:type="paragraph" w:styleId="BodyTextIndent3">
    <w:name w:val="Body Text Indent 3"/>
    <w:basedOn w:val="Normal"/>
    <w:qFormat/>
    <w:pPr>
      <w:spacing w:lineRule="exact" w:line="240" w:before="240" w:after="0"/>
      <w:ind w:hanging="0" w:start="1440" w:end="0"/>
      <w:jc w:val="both"/>
    </w:pPr>
    <w:rPr>
      <w:color w:val="000000"/>
    </w:rPr>
  </w:style>
  <w:style w:type="paragraph" w:styleId="BodyText3">
    <w:name w:val="Body Text 3"/>
    <w:basedOn w:val="Normal"/>
    <w:qFormat/>
    <w:pPr>
      <w:jc w:val="both"/>
    </w:pPr>
    <w:rPr>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2000-06-07T18:03:00Z</dcterms:created>
  <dc:creator>ECT</dc:creator>
  <dc:description/>
  <dc:language>en-CA</dc:language>
  <cp:lastModifiedBy>marie_heard</cp:lastModifiedBy>
  <cp:lastPrinted>2000-06-07T15:36:00Z</cp:lastPrinted>
  <dcterms:modified xsi:type="dcterms:W3CDTF">2000-06-07T18:07:00Z</dcterms:modified>
  <cp:revision>3</cp:revision>
  <dc:subject/>
  <dc:title>“DEEMED ISDA” CONFIRMATION</dc:title>
</cp:coreProperties>
</file>