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end"/>
        <w:rPr>
          <w:sz w:val="22"/>
        </w:rPr>
      </w:pPr>
      <w:r>
        <w:rPr>
          <w:sz w:val="22"/>
        </w:rPr>
        <w:t>October 30, 2001</w:t>
      </w:r>
    </w:p>
    <w:p>
      <w:pPr>
        <w:pStyle w:val="Normal"/>
        <w:spacing w:before="0" w:after="120"/>
        <w:jc w:val="end"/>
        <w:rPr>
          <w:sz w:val="22"/>
        </w:rPr>
      </w:pPr>
      <w:r>
        <w:rPr>
          <w:sz w:val="22"/>
        </w:rPr>
      </w:r>
    </w:p>
    <w:p>
      <w:pPr>
        <w:pStyle w:val="Normal"/>
        <w:tabs>
          <w:tab w:val="clear" w:pos="720"/>
          <w:tab w:val="right" w:pos="11232" w:leader="none"/>
        </w:tabs>
        <w:spacing w:before="0" w:after="120"/>
        <w:jc w:val="center"/>
        <w:rPr>
          <w:b/>
          <w:sz w:val="24"/>
        </w:rPr>
      </w:pPr>
      <w:r>
        <w:rPr>
          <w:b/>
          <w:sz w:val="24"/>
        </w:rPr>
        <w:t>Adjustment Notice</w:t>
      </w:r>
    </w:p>
    <w:p>
      <w:pPr>
        <w:pStyle w:val="Normal"/>
        <w:rPr>
          <w:b/>
          <w:sz w:val="22"/>
        </w:rPr>
      </w:pPr>
      <w:r>
        <w:rPr>
          <w:b/>
          <w:sz w:val="22"/>
        </w:rPr>
      </w:r>
    </w:p>
    <w:p>
      <w:pPr>
        <w:pStyle w:val="Normal"/>
        <w:rPr>
          <w:sz w:val="22"/>
        </w:rPr>
      </w:pPr>
      <w:r>
        <w:rPr>
          <w:sz w:val="22"/>
        </w:rPr>
        <w:t>Enron Corp.</w:t>
      </w:r>
    </w:p>
    <w:p>
      <w:pPr>
        <w:pStyle w:val="Normal"/>
        <w:rPr>
          <w:sz w:val="22"/>
        </w:rPr>
      </w:pPr>
      <w:r>
        <w:rPr>
          <w:sz w:val="22"/>
        </w:rPr>
        <w:t>1400 Smith Street</w:t>
      </w:r>
    </w:p>
    <w:p>
      <w:pPr>
        <w:pStyle w:val="Normal"/>
        <w:rPr>
          <w:sz w:val="22"/>
        </w:rPr>
      </w:pPr>
      <w:r>
        <w:rPr>
          <w:sz w:val="22"/>
        </w:rPr>
        <w:t>Houston, TX  77002</w:t>
      </w:r>
    </w:p>
    <w:p>
      <w:pPr>
        <w:pStyle w:val="Normal"/>
        <w:rPr>
          <w:sz w:val="22"/>
        </w:rPr>
      </w:pPr>
      <w:r>
        <w:rPr>
          <w:sz w:val="22"/>
        </w:rPr>
        <w:t>Attention: Sara Shackleton</w:t>
      </w:r>
    </w:p>
    <w:p>
      <w:pPr>
        <w:pStyle w:val="Normal"/>
        <w:rPr>
          <w:sz w:val="22"/>
        </w:rPr>
      </w:pPr>
      <w:r>
        <w:rPr>
          <w:sz w:val="22"/>
        </w:rPr>
        <w:t>Telephone: 713-853-5620</w:t>
      </w:r>
    </w:p>
    <w:p>
      <w:pPr>
        <w:pStyle w:val="Normal"/>
        <w:rPr>
          <w:sz w:val="22"/>
        </w:rPr>
      </w:pPr>
      <w:r>
        <w:rPr>
          <w:sz w:val="22"/>
        </w:rPr>
        <w:t>Facsimile: 713-646-3393</w:t>
      </w:r>
    </w:p>
    <w:p>
      <w:pPr>
        <w:pStyle w:val="Normal"/>
        <w:rPr>
          <w:sz w:val="22"/>
        </w:rPr>
      </w:pPr>
      <w:r>
        <w:rPr>
          <w:sz w:val="22"/>
        </w:rPr>
      </w:r>
    </w:p>
    <w:p>
      <w:pPr>
        <w:pStyle w:val="Normal"/>
        <w:rPr>
          <w:sz w:val="22"/>
        </w:rPr>
      </w:pPr>
      <w:r>
        <w:rPr>
          <w:sz w:val="22"/>
        </w:rPr>
        <w:t>Global Deal ID: 197073</w:t>
      </w:r>
    </w:p>
    <w:p>
      <w:pPr>
        <w:pStyle w:val="Normal"/>
        <w:rPr>
          <w:sz w:val="22"/>
        </w:rPr>
      </w:pPr>
      <w:r>
        <w:rPr>
          <w:sz w:val="22"/>
        </w:rPr>
        <w:t xml:space="preserve">Effort ID: </w:t>
        <w:tab/>
        <w:t xml:space="preserve"> </w:t>
      </w:r>
    </w:p>
    <w:p>
      <w:pPr>
        <w:pStyle w:val="Normal"/>
        <w:rPr>
          <w:sz w:val="22"/>
        </w:rPr>
      </w:pPr>
      <w:r>
        <w:rPr>
          <w:sz w:val="22"/>
        </w:rPr>
      </w:r>
    </w:p>
    <w:p>
      <w:pPr>
        <w:pStyle w:val="Normal"/>
        <w:rPr>
          <w:sz w:val="22"/>
        </w:rPr>
      </w:pPr>
      <w:r>
        <w:rPr>
          <w:sz w:val="22"/>
        </w:rPr>
        <w:t>Dear Sir or Madam:</w:t>
      </w:r>
    </w:p>
    <w:p>
      <w:pPr>
        <w:pStyle w:val="Normal"/>
        <w:rPr>
          <w:sz w:val="22"/>
        </w:rPr>
      </w:pPr>
      <w:r>
        <w:rPr>
          <w:sz w:val="22"/>
        </w:rPr>
      </w:r>
    </w:p>
    <w:p>
      <w:pPr>
        <w:pStyle w:val="Normal"/>
        <w:rPr>
          <w:sz w:val="22"/>
        </w:rPr>
      </w:pPr>
      <w:r>
        <w:rPr>
          <w:sz w:val="22"/>
        </w:rPr>
        <w:t>Reference is made to the transaction (the "Transaction") entered into on October 1, 2001 between Lehman Brothers Finance S.A. ("Party A") and Enron Corp. (“Party B”) on the common shares of Enron Corp. (Equity Ticker:ENE), the Confirmation of which bears the LBF Effort ID 192912 (pf). Capitalized terms not defined herein shall have the meanings assigned to them in the Confirmation.</w:t>
      </w:r>
    </w:p>
    <w:p>
      <w:pPr>
        <w:pStyle w:val="Normal"/>
        <w:rPr>
          <w:sz w:val="22"/>
        </w:rPr>
      </w:pPr>
      <w:r>
        <w:rPr>
          <w:sz w:val="22"/>
        </w:rPr>
      </w:r>
    </w:p>
    <w:p>
      <w:pPr>
        <w:pStyle w:val="Normal"/>
        <w:rPr>
          <w:sz w:val="22"/>
        </w:rPr>
      </w:pPr>
      <w:r>
        <w:rPr>
          <w:sz w:val="22"/>
        </w:rPr>
        <w:t>The parties hereto agree that effective 9:00 a.m. October 30, 2001, in the Procedure for Exercise section of the Confirmation:</w:t>
      </w:r>
    </w:p>
    <w:p>
      <w:pPr>
        <w:pStyle w:val="Normal"/>
        <w:rPr>
          <w:sz w:val="22"/>
        </w:rPr>
      </w:pPr>
      <w:r>
        <w:rPr>
          <w:sz w:val="22"/>
        </w:rPr>
      </w:r>
    </w:p>
    <w:p>
      <w:pPr>
        <w:pStyle w:val="Normal"/>
        <w:rPr>
          <w:sz w:val="22"/>
        </w:rPr>
      </w:pPr>
      <w:r>
        <w:rPr>
          <w:sz w:val="22"/>
        </w:rPr>
        <w:t>The provision, “Expiration Date: October 30, 2001”, shall be deleted and replaced with the following, “Expiration Date: October 31, 2001”.</w:t>
      </w:r>
    </w:p>
    <w:p>
      <w:pPr>
        <w:pStyle w:val="Normal"/>
        <w:rPr>
          <w:sz w:val="22"/>
        </w:rPr>
      </w:pPr>
      <w:r>
        <w:rPr>
          <w:sz w:val="22"/>
        </w:rPr>
      </w:r>
    </w:p>
    <w:p>
      <w:pPr>
        <w:pStyle w:val="Normal"/>
        <w:rPr>
          <w:sz w:val="22"/>
        </w:rPr>
      </w:pPr>
      <w:r>
        <w:rPr>
          <w:sz w:val="22"/>
        </w:rPr>
        <w:t>The parties hereto agree that effective 9:00 a.m. October 30, 2001, in the Settlement Terms section of the Confirmation:</w:t>
      </w:r>
    </w:p>
    <w:p>
      <w:pPr>
        <w:pStyle w:val="Normal"/>
        <w:rPr>
          <w:sz w:val="22"/>
        </w:rPr>
      </w:pPr>
      <w:r>
        <w:rPr>
          <w:sz w:val="22"/>
        </w:rPr>
      </w:r>
    </w:p>
    <w:p>
      <w:pPr>
        <w:pStyle w:val="Normal"/>
        <w:rPr>
          <w:sz w:val="22"/>
        </w:rPr>
      </w:pPr>
      <w:r>
        <w:rPr>
          <w:sz w:val="22"/>
        </w:rPr>
        <w:t>The following provision shall be added:</w:t>
      </w:r>
    </w:p>
    <w:p>
      <w:pPr>
        <w:pStyle w:val="Normal"/>
        <w:rPr>
          <w:sz w:val="22"/>
        </w:rPr>
      </w:pPr>
      <w:r>
        <w:rPr>
          <w:sz w:val="22"/>
        </w:rPr>
      </w:r>
    </w:p>
    <w:p>
      <w:pPr>
        <w:pStyle w:val="Normal"/>
        <w:rPr>
          <w:sz w:val="22"/>
        </w:rPr>
      </w:pPr>
      <w:r>
        <w:rPr>
          <w:sz w:val="22"/>
        </w:rPr>
        <w:t>“</w:t>
      </w:r>
      <w:r>
        <w:rPr>
          <w:sz w:val="22"/>
        </w:rPr>
        <w:t>Settlement Date: November 2, 2001”.</w:t>
      </w:r>
    </w:p>
    <w:p>
      <w:pPr>
        <w:pStyle w:val="Normal"/>
        <w:rPr>
          <w:sz w:val="22"/>
        </w:rPr>
      </w:pPr>
      <w:r>
        <w:rPr>
          <w:sz w:val="22"/>
        </w:rPr>
      </w:r>
    </w:p>
    <w:p>
      <w:pPr>
        <w:pStyle w:val="Normal"/>
        <w:rPr>
          <w:sz w:val="22"/>
        </w:rPr>
      </w:pPr>
      <w:r>
        <w:rPr>
          <w:sz w:val="22"/>
        </w:rPr>
        <w:t xml:space="preserve">Except as expressly modified herein, the Transaction shall remain in full force and effect.  </w:t>
      </w:r>
    </w:p>
    <w:p>
      <w:pPr>
        <w:pStyle w:val="Normal"/>
        <w:rPr>
          <w:sz w:val="22"/>
        </w:rPr>
      </w:pPr>
      <w:r>
        <w:rPr>
          <w:sz w:val="22"/>
        </w:rPr>
      </w:r>
    </w:p>
    <w:p>
      <w:pPr>
        <w:pStyle w:val="Normal"/>
        <w:rPr/>
      </w:pPr>
      <w:r>
        <w:rPr>
          <w:sz w:val="22"/>
          <w:lang w:eastAsia="en-US"/>
        </w:rPr>
        <w:t>Please confirm your agreement with the foregoing by executing this Adjustment Notice and returning it to us at facsimile number 201-524-2080, Attention: Documentation</w:t>
      </w:r>
      <w:r>
        <w:rPr>
          <w:sz w:val="22"/>
        </w:rPr>
        <w:t>.</w:t>
      </w:r>
    </w:p>
    <w:p>
      <w:pPr>
        <w:pStyle w:val="Normal"/>
        <w:rPr>
          <w:sz w:val="22"/>
        </w:rPr>
      </w:pPr>
      <w:r>
        <w:rPr>
          <w:sz w:val="22"/>
        </w:rPr>
      </w:r>
    </w:p>
    <w:tbl>
      <w:tblPr>
        <w:tblW w:w="9360" w:type="dxa"/>
        <w:jc w:val="start"/>
        <w:tblInd w:w="0" w:type="dxa"/>
        <w:tblLayout w:type="fixed"/>
        <w:tblCellMar>
          <w:top w:w="0" w:type="dxa"/>
          <w:start w:w="108" w:type="dxa"/>
          <w:bottom w:w="0" w:type="dxa"/>
          <w:end w:w="108" w:type="dxa"/>
        </w:tblCellMar>
      </w:tblPr>
      <w:tblGrid>
        <w:gridCol w:w="4320"/>
        <w:gridCol w:w="5040"/>
      </w:tblGrid>
      <w:tr>
        <w:trPr/>
        <w:tc>
          <w:tcPr>
            <w:tcW w:w="4320" w:type="dxa"/>
            <w:tcBorders/>
          </w:tcPr>
          <w:p>
            <w:pPr>
              <w:pStyle w:val="Normal"/>
              <w:rPr>
                <w:sz w:val="22"/>
              </w:rPr>
            </w:pPr>
            <w:r>
              <w:rPr>
                <w:sz w:val="22"/>
              </w:rPr>
              <w:t>Yours sincerely,</w:t>
            </w:r>
          </w:p>
        </w:tc>
        <w:tc>
          <w:tcPr>
            <w:tcW w:w="5040" w:type="dxa"/>
            <w:tcBorders/>
          </w:tcPr>
          <w:p>
            <w:pPr>
              <w:pStyle w:val="Normal"/>
              <w:rPr>
                <w:sz w:val="22"/>
              </w:rPr>
            </w:pPr>
            <w:r>
              <w:rPr>
                <w:sz w:val="22"/>
              </w:rPr>
              <w:t>Confirmed as of the date first above written:</w:t>
            </w:r>
          </w:p>
        </w:tc>
      </w:tr>
      <w:tr>
        <w:trPr/>
        <w:tc>
          <w:tcPr>
            <w:tcW w:w="4320" w:type="dxa"/>
            <w:tcBorders/>
          </w:tcPr>
          <w:p>
            <w:pPr>
              <w:pStyle w:val="Normal"/>
              <w:rPr>
                <w:b/>
                <w:sz w:val="22"/>
              </w:rPr>
            </w:pPr>
            <w:r>
              <w:rPr>
                <w:b/>
                <w:sz w:val="22"/>
              </w:rPr>
              <w:t>Lehman Brothers Finance S.A.</w:t>
            </w:r>
          </w:p>
        </w:tc>
        <w:tc>
          <w:tcPr>
            <w:tcW w:w="5040" w:type="dxa"/>
            <w:tcBorders/>
          </w:tcPr>
          <w:p>
            <w:pPr>
              <w:pStyle w:val="Normal"/>
              <w:rPr>
                <w:b/>
                <w:sz w:val="22"/>
              </w:rPr>
            </w:pPr>
            <w:r>
              <w:rPr>
                <w:b/>
                <w:sz w:val="22"/>
              </w:rPr>
              <w:t>Enron Corp.</w:t>
            </w:r>
          </w:p>
        </w:tc>
      </w:tr>
      <w:tr>
        <w:trPr/>
        <w:tc>
          <w:tcPr>
            <w:tcW w:w="4320" w:type="dxa"/>
            <w:tcBorders/>
          </w:tcPr>
          <w:p>
            <w:pPr>
              <w:pStyle w:val="Normal"/>
              <w:snapToGrid w:val="false"/>
              <w:rPr>
                <w:b/>
                <w:sz w:val="22"/>
              </w:rPr>
            </w:pPr>
            <w:r>
              <w:rPr>
                <w:b/>
                <w:sz w:val="22"/>
              </w:rPr>
            </w:r>
            <w:bookmarkStart w:id="0" w:name="sig_generic_01"/>
            <w:bookmarkStart w:id="1" w:name="sig_generic_01"/>
            <w:bookmarkEnd w:id="1"/>
          </w:p>
        </w:tc>
        <w:tc>
          <w:tcPr>
            <w:tcW w:w="5040"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    ________________________</w:t>
            </w:r>
          </w:p>
          <w:p>
            <w:pPr>
              <w:pStyle w:val="Normal"/>
              <w:rPr>
                <w:sz w:val="22"/>
              </w:rPr>
            </w:pPr>
            <w:r>
              <w:rPr>
                <w:sz w:val="22"/>
              </w:rPr>
              <w:t>Name:</w:t>
            </w:r>
          </w:p>
          <w:p>
            <w:pPr>
              <w:pStyle w:val="Normal"/>
              <w:rPr>
                <w:sz w:val="22"/>
              </w:rPr>
            </w:pPr>
            <w:r>
              <w:rPr>
                <w:sz w:val="22"/>
              </w:rPr>
              <w:t>Title:</w:t>
            </w:r>
          </w:p>
        </w:tc>
      </w:tr>
    </w:tbl>
    <w:p>
      <w:pPr>
        <w:pStyle w:val="Normal"/>
        <w:rPr>
          <w:sz w:val="22"/>
        </w:rPr>
      </w:pPr>
      <w:r>
        <w:rPr>
          <w:sz w:val="22"/>
        </w:rPr>
      </w:r>
      <w:bookmarkStart w:id="2" w:name="sig_generic_02"/>
      <w:bookmarkStart w:id="3" w:name="sig_generic_02"/>
      <w:bookmarkEnd w:id="3"/>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LBF Ref. N00081514/120831/158465</w:t>
      <w:tab/>
    </w: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2">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text">
    <w:name w:val="text"/>
    <w:basedOn w:val="Normal"/>
    <w:qFormat/>
    <w:pPr>
      <w:spacing w:before="0" w:after="240"/>
      <w:ind w:firstLine="720" w:start="0" w:end="0"/>
    </w:pPr>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LBFLett0.dot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2001-10-30T17:37:00Z</dcterms:created>
  <dc:creator>SYSTEM</dc:creator>
  <dc:description/>
  <dc:language>en-CA</dc:language>
  <cp:lastModifiedBy>Lehman Brothers</cp:lastModifiedBy>
  <cp:lastPrinted>1999-02-23T11:17:00Z</cp:lastPrinted>
  <dcterms:modified xsi:type="dcterms:W3CDTF">2001-10-30T17:37:00Z</dcterms:modified>
  <cp:revision>2</cp:revision>
  <dc:subject/>
  <dc:title>23 February, 1999</dc:title>
</cp:coreProperties>
</file>