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  <w:drawing>
          <wp:inline distT="0" distB="0" distL="0" distR="0">
            <wp:extent cx="653415" cy="6477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pBdr>
          <w:top w:val="single" w:sz="18" w:space="0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To:</w:t>
            </w:r>
          </w:p>
        </w:tc>
        <w:tc>
          <w:tcPr>
            <w:tcW w:w="4770" w:type="dxa"/>
            <w:tcBorders/>
          </w:tcPr>
          <w:p>
            <w:pPr>
              <w:pStyle w:val="To"/>
              <w:rPr>
                <w:sz w:val="22"/>
              </w:rPr>
            </w:pPr>
            <w:bookmarkStart w:id="0" w:name="To"/>
            <w:bookmarkEnd w:id="0"/>
            <w:r>
              <w:rPr>
                <w:sz w:val="22"/>
              </w:rPr>
              <w:t>Dick Johnson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ToCompany"/>
              <w:rPr>
                <w:sz w:val="22"/>
              </w:rPr>
            </w:pPr>
            <w:bookmarkStart w:id="1" w:name="ToCompany"/>
            <w:bookmarkEnd w:id="1"/>
            <w:r>
              <w:rPr>
                <w:sz w:val="22"/>
              </w:rPr>
              <w:t>Ash Grove Cement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ToPhone"/>
              <w:rPr>
                <w:sz w:val="22"/>
              </w:rPr>
            </w:pPr>
            <w:bookmarkStart w:id="2" w:name="ToPhone"/>
            <w:bookmarkEnd w:id="2"/>
            <w:r>
              <w:rPr>
                <w:sz w:val="22"/>
              </w:rPr>
              <w:t>(406) 442-8855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rPr>
                <w:sz w:val="22"/>
              </w:rPr>
            </w:pPr>
            <w:bookmarkStart w:id="3" w:name="ToFax"/>
            <w:bookmarkEnd w:id="3"/>
            <w:r>
              <w:rPr>
                <w:sz w:val="22"/>
              </w:rPr>
              <w:t>(406) 442-9262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From:</w:t>
            </w:r>
          </w:p>
        </w:tc>
        <w:tc>
          <w:tcPr>
            <w:tcW w:w="4770" w:type="dxa"/>
            <w:tcBorders/>
          </w:tcPr>
          <w:p>
            <w:pPr>
              <w:pStyle w:val="From"/>
              <w:spacing w:before="360" w:after="0"/>
              <w:rPr>
                <w:sz w:val="22"/>
              </w:rPr>
            </w:pPr>
            <w:bookmarkStart w:id="4" w:name="From"/>
            <w:bookmarkEnd w:id="4"/>
            <w:r>
              <w:rPr>
                <w:sz w:val="22"/>
              </w:rPr>
              <w:t>John D. Malowney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FromCompany"/>
              <w:rPr>
                <w:sz w:val="22"/>
              </w:rPr>
            </w:pPr>
            <w:bookmarkStart w:id="5" w:name="FromCompany"/>
            <w:bookmarkEnd w:id="5"/>
            <w:r>
              <w:rPr>
                <w:sz w:val="22"/>
              </w:rPr>
              <w:t>Enron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FromPhone"/>
              <w:rPr>
                <w:sz w:val="22"/>
              </w:rPr>
            </w:pPr>
            <w:bookmarkStart w:id="6" w:name="FromPhone"/>
            <w:bookmarkEnd w:id="6"/>
            <w:r>
              <w:rPr>
                <w:sz w:val="22"/>
              </w:rPr>
              <w:t>503-464-2270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FromFax"/>
              <w:rPr>
                <w:sz w:val="22"/>
              </w:rPr>
            </w:pPr>
            <w:bookmarkStart w:id="7" w:name="FromFax"/>
            <w:bookmarkEnd w:id="7"/>
            <w:r>
              <w:rPr>
                <w:sz w:val="22"/>
              </w:rPr>
              <w:t>503-464-3740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w="4770" w:type="dxa"/>
            <w:tcBorders/>
          </w:tcPr>
          <w:p>
            <w:pPr>
              <w:pStyle w:val="Date"/>
              <w:spacing w:before="360" w:after="0"/>
              <w:rPr>
                <w:sz w:val="22"/>
              </w:rPr>
            </w:pPr>
            <w:bookmarkStart w:id="8" w:name="Date"/>
            <w:bookmarkEnd w:id="8"/>
            <w:r>
              <w:rPr>
                <w:sz w:val="22"/>
              </w:rPr>
              <w:t>June 5, 2001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Pages including this cover page:</w:t>
            </w:r>
          </w:p>
        </w:tc>
        <w:tc>
          <w:tcPr>
            <w:tcW w:w="4770" w:type="dxa"/>
            <w:tcBorders/>
          </w:tcPr>
          <w:p>
            <w:pPr>
              <w:pStyle w:val="Pages"/>
              <w:rPr>
                <w:sz w:val="22"/>
              </w:rPr>
            </w:pPr>
            <w:bookmarkStart w:id="9" w:name="Pages"/>
            <w:bookmarkEnd w:id="9"/>
            <w:r>
              <w:rPr>
                <w:sz w:val="22"/>
              </w:rPr>
              <w:t>2</w:t>
            </w:r>
          </w:p>
        </w:tc>
      </w:tr>
    </w:tbl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 xml:space="preserve">Comments:  Dick, this is to confirm Ash Grove Cement’s purchase of energy from Enron Power Marketing Inc. (EPMI).  Please confirm your acceptance by written acknowledgement.  You will receive a binding confirmation within the week.  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Seller:</w:t>
        <w:tab/>
        <w:tab/>
        <w:tab/>
        <w:t>EPMI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Buyer:</w:t>
        <w:tab/>
        <w:tab/>
        <w:tab/>
        <w:t>Ash Grove Cement</w:t>
      </w:r>
    </w:p>
    <w:p>
      <w:pPr>
        <w:pStyle w:val="Comments"/>
        <w:ind w:hanging="2160" w:start="2160" w:end="0"/>
        <w:rPr/>
      </w:pPr>
      <w:r>
        <w:rPr>
          <w:b w:val="false"/>
          <w:sz w:val="22"/>
        </w:rPr>
        <w:t>Term:</w:t>
        <w:tab/>
      </w:r>
      <w:r>
        <w:rPr>
          <w:bCs/>
          <w:sz w:val="22"/>
        </w:rPr>
        <w:t>(A)</w:t>
        <w:tab/>
      </w:r>
      <w:r>
        <w:rPr>
          <w:b w:val="false"/>
          <w:sz w:val="22"/>
        </w:rPr>
        <w:t>Commencing Hour Ending (HE) 1:00 Pacific Prevailing Time (PPT) October 1, 2001 through and including HE 24:00 on June 30, 2002.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2160" w:end="0"/>
        <w:rPr/>
      </w:pPr>
      <w:r>
        <w:rPr>
          <w:b/>
          <w:bCs/>
          <w:sz w:val="22"/>
        </w:rPr>
        <w:t>(B)</w:t>
        <w:tab/>
      </w:r>
      <w:r>
        <w:rPr>
          <w:sz w:val="22"/>
        </w:rPr>
        <w:t>Commencing HE 1:00 PPT July 1, 2002 through and including HE 24:00 PPT June 30, 2007.  This transaction is binding but dependent upon the expedient execution of the proposed Edison Electric Institute (EEI) Master Sale &amp; Purchase Agreement being forwarded to Ash Grove Cement by the close of business of today.</w:t>
      </w:r>
    </w:p>
    <w:p>
      <w:pPr>
        <w:pStyle w:val="Comments"/>
        <w:rPr>
          <w:bCs/>
          <w:sz w:val="22"/>
        </w:rPr>
      </w:pPr>
      <w:r>
        <w:rPr>
          <w:b w:val="false"/>
          <w:sz w:val="22"/>
        </w:rPr>
        <w:t>Quantity:</w:t>
        <w:tab/>
        <w:tab/>
        <w:t xml:space="preserve">Structure </w:t>
      </w:r>
      <w:r>
        <w:rPr>
          <w:bCs/>
          <w:sz w:val="22"/>
        </w:rPr>
        <w:t>(A)</w:t>
      </w:r>
      <w:r>
        <w:rPr>
          <w:b w:val="false"/>
          <w:sz w:val="22"/>
        </w:rPr>
        <w:t>; Six (6) MW for the entire period.</w:t>
      </w:r>
    </w:p>
    <w:p>
      <w:pPr>
        <w:pStyle w:val="Comments"/>
        <w:ind w:start="2160" w:end="0"/>
        <w:rPr/>
      </w:pPr>
      <w:r>
        <w:rPr>
          <w:b w:val="false"/>
          <w:bCs/>
          <w:sz w:val="22"/>
        </w:rPr>
        <w:t xml:space="preserve">Structure </w:t>
      </w:r>
      <w:r>
        <w:rPr>
          <w:sz w:val="22"/>
        </w:rPr>
        <w:t>(B)</w:t>
      </w:r>
      <w:r>
        <w:rPr>
          <w:b w:val="false"/>
          <w:bCs/>
          <w:sz w:val="22"/>
        </w:rPr>
        <w:t>; Six (6) MW for all months except for every January and February which would be three (3) MW.</w:t>
      </w:r>
    </w:p>
    <w:p>
      <w:pPr>
        <w:pStyle w:val="Comments"/>
        <w:rPr>
          <w:b w:val="false"/>
          <w:bCs/>
          <w:sz w:val="22"/>
        </w:rPr>
      </w:pPr>
      <w:r>
        <w:rPr>
          <w:b w:val="false"/>
          <w:bCs/>
          <w:sz w:val="22"/>
        </w:rPr>
      </w:r>
    </w:p>
    <w:p>
      <w:pPr>
        <w:pStyle w:val="Comments"/>
        <w:rPr/>
      </w:pPr>
      <w:r>
        <w:rPr>
          <w:b w:val="false"/>
          <w:sz w:val="22"/>
        </w:rPr>
        <w:t>Price:</w:t>
        <w:tab/>
        <w:tab/>
        <w:tab/>
      </w:r>
      <w:r>
        <w:rPr>
          <w:bCs/>
          <w:sz w:val="22"/>
        </w:rPr>
        <w:t>(A)</w:t>
        <w:tab/>
      </w:r>
      <w:r>
        <w:rPr>
          <w:b w:val="false"/>
          <w:sz w:val="22"/>
        </w:rPr>
        <w:t>$88.25/MWh</w:t>
      </w:r>
    </w:p>
    <w:p>
      <w:pPr>
        <w:pStyle w:val="Comments"/>
        <w:rPr/>
      </w:pPr>
      <w:r>
        <w:rPr>
          <w:b w:val="false"/>
          <w:sz w:val="22"/>
        </w:rPr>
        <w:tab/>
        <w:tab/>
        <w:tab/>
      </w:r>
      <w:r>
        <w:rPr>
          <w:bCs/>
          <w:sz w:val="22"/>
        </w:rPr>
        <w:t>(B)</w:t>
      </w:r>
      <w:r>
        <w:rPr>
          <w:b w:val="false"/>
          <w:sz w:val="22"/>
        </w:rPr>
        <w:tab/>
        <w:t>$42.25/MWh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Commodity:</w:t>
        <w:tab/>
        <w:tab/>
        <w:t>Contractually and financially firm energy.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Delivery Point:</w:t>
        <w:tab/>
        <w:tab/>
        <w:t>Montana Power Company (MPC) system border.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rPr>
          <w:bCs/>
        </w:rPr>
      </w:pPr>
      <w:r>
        <w:rPr>
          <w:bCs/>
        </w:rPr>
        <w:t>Load Factor:</w:t>
        <w:tab/>
        <w:tab/>
        <w:t>100 % (“flat”)</w:t>
      </w:r>
    </w:p>
    <w:p>
      <w:pPr>
        <w:pStyle w:val="Comments"/>
        <w:ind w:hanging="2160" w:start="2160" w:end="0"/>
        <w:rPr>
          <w:b w:val="false"/>
          <w:sz w:val="22"/>
        </w:rPr>
      </w:pPr>
      <w:r>
        <w:rPr>
          <w:b w:val="false"/>
          <w:sz w:val="22"/>
        </w:rPr>
        <w:t>Losses:</w:t>
        <w:tab/>
        <w:t>EPMI would be responsible for all losses up to the Delivery Point.  Ash Grove Cement would be responsible for all losses from and beyond the Delivery Point.</w:t>
      </w:r>
    </w:p>
    <w:p>
      <w:pPr>
        <w:pStyle w:val="Comments"/>
        <w:ind w:hanging="2160" w:start="2160" w:end="0"/>
        <w:rPr>
          <w:b w:val="false"/>
          <w:sz w:val="22"/>
        </w:rPr>
      </w:pPr>
      <w:r>
        <w:rPr>
          <w:b w:val="false"/>
          <w:sz w:val="22"/>
        </w:rPr>
        <w:t>Scheduling:</w:t>
        <w:tab/>
        <w:t>EPMI and Ash Grove Cement agree on scheduling provisions consistent with Western System Coordinating Council (WSCC) industry standard practice and any applicable Montana Power Company (MPC) requirements.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Billing:</w:t>
        <w:tab/>
        <w:tab/>
        <w:tab/>
        <w:t xml:space="preserve">EPMI will bill Ash Grove Cement on a monthly basis. </w:t>
      </w:r>
    </w:p>
    <w:p>
      <w:pPr>
        <w:pStyle w:val="Comments"/>
        <w:ind w:hanging="2160" w:start="2160" w:end="0"/>
        <w:rPr>
          <w:b w:val="false"/>
          <w:sz w:val="22"/>
        </w:rPr>
      </w:pPr>
      <w:r>
        <w:rPr>
          <w:b w:val="false"/>
          <w:sz w:val="22"/>
        </w:rPr>
        <w:t>Transmission:</w:t>
        <w:tab/>
        <w:t>EPMI is responsible for transmission up to the Point of Delivery.  Ash Grove Cement is responsible for transmission from beyond that point.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 xml:space="preserve">Thanks again, as always I enjoy working with you.  Please do not hesitate to give me a call if you have any questions and or concerns.   </w:t>
      </w:r>
    </w:p>
    <w:p>
      <w:pPr>
        <w:pStyle w:val="Comments"/>
        <w:spacing w:before="240" w:after="120"/>
        <w:rPr>
          <w:b w:val="false"/>
          <w:sz w:val="22"/>
        </w:rPr>
      </w:pPr>
      <w:r>
        <w:rPr>
          <w:b w:val="false"/>
          <w:sz w:val="22"/>
        </w:rPr>
        <w:t>JOHN</w:t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widowControl w:val="false"/>
      <w:ind w:hanging="0" w:start="720" w:end="0"/>
    </w:pPr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pPr>
      <w:ind w:hanging="2880" w:start="2880" w:end="0"/>
      <w:jc w:val="both"/>
    </w:pPr>
    <w:rPr>
      <w:sz w:val="24"/>
    </w:rPr>
  </w:style>
  <w:style w:type="paragraph" w:styleId="BodyTextIndent2">
    <w:name w:val="Body Text Indent 2"/>
    <w:basedOn w:val="Normal"/>
    <w:qFormat/>
    <w:pPr>
      <w:ind w:hanging="2160" w:start="2160" w:end="0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ECTFAX</Template>
  <TotalTime>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2001-06-05T13:18:00Z</dcterms:created>
  <dc:creator>ect</dc:creator>
  <dc:description/>
  <dc:language>en-CA</dc:language>
  <cp:lastModifiedBy>jmalown</cp:lastModifiedBy>
  <cp:lastPrinted>2001-06-05T09:07:00Z</cp:lastPrinted>
  <dcterms:modified xsi:type="dcterms:W3CDTF">2001-06-05T14:43:00Z</dcterms:modified>
  <cp:revision>5</cp:revision>
  <dc:subject/>
  <dc:title>Create a cover sheet for an Enron Capital &amp; Trade Resources fax.</dc:title>
</cp:coreProperties>
</file>