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b w:val="false"/>
          <w:sz w:val="20"/>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b/>
        </w:rPr>
      </w:pPr>
      <w:r>
        <w:rPr>
          <w:b/>
        </w:rPr>
      </w:r>
    </w:p>
    <w:p>
      <w:pPr>
        <w:pStyle w:val="Normal"/>
        <w:rPr>
          <w:sz w:val="16"/>
        </w:rPr>
      </w:pPr>
      <w:r>
        <w:rPr>
          <w:sz w:val="16"/>
        </w:rPr>
      </w:r>
    </w:p>
    <w:p>
      <w:pPr>
        <w:pStyle w:val="Heading1"/>
        <w:pBdr>
          <w:top w:val="single" w:sz="18" w:space="1" w:color="000000"/>
        </w:pBdr>
        <w:spacing w:before="0" w:after="240"/>
        <w:ind w:hanging="0" w:start="0"/>
        <w:rPr>
          <w:sz w:val="60"/>
          <w:u w:val="none"/>
        </w:rPr>
      </w:pPr>
      <w:r>
        <w:rPr>
          <w:sz w:val="60"/>
          <w:u w:val="none"/>
        </w:rPr>
        <w:t>Facsimile Cover Sheet</w:t>
      </w:r>
    </w:p>
    <w:p>
      <w:pPr>
        <w:pStyle w:val="Normal"/>
        <w:rPr>
          <w:sz w:val="60"/>
          <w:u w:val="none"/>
        </w:rPr>
      </w:pPr>
      <w:r>
        <w:rPr>
          <w:sz w:val="60"/>
          <w:u w:val="none"/>
        </w:rPr>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rPr>
            </w:pPr>
            <w:r>
              <w:rPr>
                <w:b/>
              </w:rPr>
              <w:t>To:</w:t>
            </w:r>
          </w:p>
        </w:tc>
        <w:tc>
          <w:tcPr>
            <w:tcW w:w="4770" w:type="dxa"/>
            <w:tcBorders/>
          </w:tcPr>
          <w:p>
            <w:pPr>
              <w:pStyle w:val="To"/>
              <w:rPr/>
            </w:pPr>
            <w:bookmarkStart w:id="0" w:name="To"/>
            <w:bookmarkEnd w:id="0"/>
            <w:r>
              <w:rPr/>
              <w:t>Jamie Shand</w:t>
            </w:r>
          </w:p>
        </w:tc>
      </w:tr>
      <w:tr>
        <w:trPr/>
        <w:tc>
          <w:tcPr>
            <w:tcW w:w="3168" w:type="dxa"/>
            <w:tcBorders/>
          </w:tcPr>
          <w:p>
            <w:pPr>
              <w:pStyle w:val="Normal"/>
              <w:jc w:val="end"/>
              <w:rPr>
                <w:b/>
                <w:sz w:val="28"/>
              </w:rPr>
            </w:pPr>
            <w:r>
              <w:rPr>
                <w:b/>
                <w:sz w:val="28"/>
              </w:rPr>
              <w:t>Company:</w:t>
            </w:r>
          </w:p>
        </w:tc>
        <w:tc>
          <w:tcPr>
            <w:tcW w:w="4770" w:type="dxa"/>
            <w:tcBorders/>
          </w:tcPr>
          <w:p>
            <w:pPr>
              <w:pStyle w:val="ToCompany"/>
              <w:rPr/>
            </w:pPr>
            <w:bookmarkStart w:id="1" w:name="ToCompany"/>
            <w:bookmarkEnd w:id="1"/>
            <w:r>
              <w:rPr/>
              <w:t xml:space="preserve">Express Pipeline </w:t>
            </w:r>
          </w:p>
        </w:tc>
      </w:tr>
      <w:tr>
        <w:trPr/>
        <w:tc>
          <w:tcPr>
            <w:tcW w:w="3168" w:type="dxa"/>
            <w:tcBorders/>
          </w:tcPr>
          <w:p>
            <w:pPr>
              <w:pStyle w:val="Normal"/>
              <w:jc w:val="end"/>
              <w:rPr>
                <w:b/>
                <w:sz w:val="28"/>
              </w:rPr>
            </w:pPr>
            <w:r>
              <w:rPr>
                <w:b/>
                <w:sz w:val="28"/>
              </w:rPr>
              <w:t>Phone:</w:t>
            </w:r>
          </w:p>
        </w:tc>
        <w:tc>
          <w:tcPr>
            <w:tcW w:w="4770" w:type="dxa"/>
            <w:tcBorders/>
          </w:tcPr>
          <w:p>
            <w:pPr>
              <w:pStyle w:val="ToPhone"/>
              <w:rPr/>
            </w:pPr>
            <w:bookmarkStart w:id="2" w:name="ToPhone"/>
            <w:bookmarkEnd w:id="2"/>
            <w:r>
              <w:rPr/>
              <w:t>(403) 691-6098</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(403) 691-7700</w:t>
            </w:r>
          </w:p>
        </w:tc>
      </w:tr>
      <w:tr>
        <w:trPr/>
        <w:tc>
          <w:tcPr>
            <w:tcW w:w="3168" w:type="dxa"/>
            <w:tcBorders/>
          </w:tcPr>
          <w:p>
            <w:pPr>
              <w:pStyle w:val="Normal"/>
              <w:spacing w:before="360" w:after="0"/>
              <w:jc w:val="end"/>
              <w:rPr>
                <w:b/>
                <w:sz w:val="28"/>
              </w:rPr>
            </w:pPr>
            <w:r>
              <w:rPr>
                <w:b/>
                <w:sz w:val="36"/>
              </w:rPr>
              <w:t>From:</w:t>
            </w:r>
          </w:p>
        </w:tc>
        <w:tc>
          <w:tcPr>
            <w:tcW w:w="4770" w:type="dxa"/>
            <w:tcBorders/>
          </w:tcPr>
          <w:p>
            <w:pPr>
              <w:pStyle w:val="From"/>
              <w:spacing w:before="360" w:after="0"/>
              <w:rPr/>
            </w:pPr>
            <w:bookmarkStart w:id="4" w:name="From"/>
            <w:bookmarkEnd w:id="4"/>
            <w:r>
              <w:rPr/>
              <w:t>John D. Malowney</w:t>
            </w:r>
          </w:p>
        </w:tc>
      </w:tr>
      <w:tr>
        <w:trPr/>
        <w:tc>
          <w:tcPr>
            <w:tcW w:w="3168" w:type="dxa"/>
            <w:tcBorders/>
          </w:tcPr>
          <w:p>
            <w:pPr>
              <w:pStyle w:val="Normal"/>
              <w:jc w:val="end"/>
              <w:rPr>
                <w:b/>
                <w:sz w:val="28"/>
              </w:rPr>
            </w:pPr>
            <w:r>
              <w:rPr>
                <w:b/>
                <w:sz w:val="28"/>
              </w:rPr>
              <w:t>Company:</w:t>
            </w:r>
          </w:p>
        </w:tc>
        <w:tc>
          <w:tcPr>
            <w:tcW w:w="4770" w:type="dxa"/>
            <w:tcBorders/>
          </w:tcPr>
          <w:p>
            <w:pPr>
              <w:pStyle w:val="FromCompany"/>
              <w:rPr/>
            </w:pPr>
            <w:bookmarkStart w:id="5" w:name="FromCompany"/>
            <w:bookmarkEnd w:id="5"/>
            <w:r>
              <w:rPr/>
              <w:t>Enron</w:t>
            </w:r>
          </w:p>
        </w:tc>
      </w:tr>
      <w:tr>
        <w:trPr/>
        <w:tc>
          <w:tcPr>
            <w:tcW w:w="3168" w:type="dxa"/>
            <w:tcBorders/>
          </w:tcPr>
          <w:p>
            <w:pPr>
              <w:pStyle w:val="Normal"/>
              <w:jc w:val="end"/>
              <w:rPr>
                <w:b/>
                <w:sz w:val="28"/>
              </w:rPr>
            </w:pPr>
            <w:r>
              <w:rPr>
                <w:b/>
                <w:sz w:val="28"/>
              </w:rPr>
              <w:t>Phone:</w:t>
            </w:r>
          </w:p>
        </w:tc>
        <w:tc>
          <w:tcPr>
            <w:tcW w:w="4770" w:type="dxa"/>
            <w:tcBorders/>
          </w:tcPr>
          <w:p>
            <w:pPr>
              <w:pStyle w:val="FromPhone"/>
              <w:rPr/>
            </w:pPr>
            <w:bookmarkStart w:id="6" w:name="FromPhone"/>
            <w:bookmarkEnd w:id="6"/>
            <w:r>
              <w:rPr/>
              <w:t xml:space="preserve">503-464-2270 </w:t>
            </w:r>
          </w:p>
        </w:tc>
      </w:tr>
      <w:tr>
        <w:trPr/>
        <w:tc>
          <w:tcPr>
            <w:tcW w:w="3168" w:type="dxa"/>
            <w:tcBorders/>
          </w:tcPr>
          <w:p>
            <w:pPr>
              <w:pStyle w:val="Normal"/>
              <w:jc w:val="end"/>
              <w:rPr>
                <w:b/>
                <w:sz w:val="28"/>
              </w:rPr>
            </w:pPr>
            <w:r>
              <w:rPr>
                <w:b/>
                <w:sz w:val="28"/>
              </w:rPr>
              <w:t>Fax:</w:t>
            </w:r>
          </w:p>
        </w:tc>
        <w:tc>
          <w:tcPr>
            <w:tcW w:w="4770" w:type="dxa"/>
            <w:tcBorders/>
          </w:tcPr>
          <w:p>
            <w:pPr>
              <w:pStyle w:val="FromFax"/>
              <w:rPr/>
            </w:pPr>
            <w:bookmarkStart w:id="7" w:name="FromFax"/>
            <w:bookmarkEnd w:id="7"/>
            <w:r>
              <w:rPr/>
              <w:t>503-464-3740</w:t>
            </w:r>
          </w:p>
        </w:tc>
      </w:tr>
      <w:tr>
        <w:trPr/>
        <w:tc>
          <w:tcPr>
            <w:tcW w:w="3168" w:type="dxa"/>
            <w:tcBorders/>
          </w:tcPr>
          <w:p>
            <w:pPr>
              <w:pStyle w:val="Normal"/>
              <w:spacing w:before="360" w:after="0"/>
              <w:jc w:val="end"/>
              <w:rPr>
                <w:b/>
                <w:sz w:val="28"/>
              </w:rPr>
            </w:pPr>
            <w:r>
              <w:rPr>
                <w:b/>
                <w:sz w:val="28"/>
              </w:rPr>
              <w:t>Date:</w:t>
            </w:r>
          </w:p>
        </w:tc>
        <w:tc>
          <w:tcPr>
            <w:tcW w:w="4770" w:type="dxa"/>
            <w:tcBorders/>
          </w:tcPr>
          <w:p>
            <w:pPr>
              <w:pStyle w:val="Date"/>
              <w:spacing w:before="360" w:after="0"/>
              <w:rPr/>
            </w:pPr>
            <w:bookmarkStart w:id="8" w:name="Date"/>
            <w:bookmarkEnd w:id="8"/>
            <w:r>
              <w:rPr/>
              <w:t>June 28, 2001</w:t>
            </w:r>
          </w:p>
        </w:tc>
      </w:tr>
      <w:tr>
        <w:trPr/>
        <w:tc>
          <w:tcPr>
            <w:tcW w:w="3168" w:type="dxa"/>
            <w:tcBorders/>
          </w:tcPr>
          <w:p>
            <w:pPr>
              <w:pStyle w:val="Normal"/>
              <w:jc w:val="end"/>
              <w:rPr>
                <w:b/>
                <w:sz w:val="28"/>
              </w:rPr>
            </w:pPr>
            <w:r>
              <w:rPr>
                <w:b/>
                <w:sz w:val="28"/>
              </w:rPr>
              <w:t>Pages including this cover page:</w:t>
            </w:r>
          </w:p>
        </w:tc>
        <w:tc>
          <w:tcPr>
            <w:tcW w:w="4770" w:type="dxa"/>
            <w:tcBorders/>
          </w:tcPr>
          <w:p>
            <w:pPr>
              <w:pStyle w:val="Pages"/>
              <w:rPr/>
            </w:pPr>
            <w:bookmarkStart w:id="9" w:name="Pages"/>
            <w:bookmarkEnd w:id="9"/>
            <w:r>
              <w:rPr/>
              <w:t>Two</w:t>
            </w:r>
          </w:p>
        </w:tc>
      </w:tr>
    </w:tbl>
    <w:p>
      <w:pPr>
        <w:pStyle w:val="Normal"/>
        <w:rPr/>
      </w:pPr>
      <w:r>
        <w:rPr/>
      </w:r>
    </w:p>
    <w:p>
      <w:pPr>
        <w:pStyle w:val="BodyText2"/>
        <w:rPr/>
      </w:pPr>
      <w:r>
        <w:rPr/>
        <w:t xml:space="preserve">Comments; Jamie, although this document sets out the basic terms and conditions with which we wish to enter into, neither party is agreeing to be legally bound to these terms until they are properly documented in a Confirmation Letter issued by our Houston office in approximately one week.  This transaction will be confirmed under our newly executed EEI Master Sales &amp; Purchase Agreement.  If you have any questions please do not hesitate to give me a call at your earliest convenience.  </w:t>
      </w:r>
    </w:p>
    <w:p>
      <w:pPr>
        <w:pStyle w:val="Normal"/>
        <w:rPr>
          <w:sz w:val="24"/>
        </w:rPr>
      </w:pPr>
      <w:r>
        <w:rPr>
          <w:sz w:val="24"/>
        </w:rPr>
      </w:r>
    </w:p>
    <w:p>
      <w:pPr>
        <w:pStyle w:val="Comments"/>
        <w:rPr>
          <w:b w:val="false"/>
          <w:sz w:val="24"/>
        </w:rPr>
      </w:pPr>
      <w:r>
        <w:rPr>
          <w:b w:val="false"/>
          <w:sz w:val="24"/>
        </w:rPr>
        <w:t>Seller:</w:t>
        <w:tab/>
        <w:tab/>
        <w:tab/>
        <w:t>Enron Power Marketing Inc. (EPMI)</w:t>
      </w:r>
    </w:p>
    <w:p>
      <w:pPr>
        <w:pStyle w:val="Comments"/>
        <w:rPr>
          <w:b w:val="false"/>
          <w:sz w:val="24"/>
        </w:rPr>
      </w:pPr>
      <w:r>
        <w:rPr>
          <w:b w:val="false"/>
          <w:sz w:val="24"/>
        </w:rPr>
        <w:t>Buyer:</w:t>
        <w:tab/>
        <w:tab/>
        <w:tab/>
        <w:t xml:space="preserve">AEC Pipelines (DBA Express Pipeline) </w:t>
        <w:tab/>
        <w:tab/>
        <w:tab/>
      </w:r>
    </w:p>
    <w:p>
      <w:pPr>
        <w:pStyle w:val="Heading2"/>
        <w:ind w:hanging="0" w:start="0"/>
        <w:rPr/>
      </w:pPr>
      <w:r>
        <w:rPr/>
        <w:t>Load Factor:</w:t>
        <w:tab/>
        <w:tab/>
        <w:t>100% (“flat”) Load Factor</w:t>
      </w:r>
    </w:p>
    <w:p>
      <w:pPr>
        <w:pStyle w:val="Comments"/>
        <w:ind w:hanging="2160" w:start="2160" w:end="0"/>
        <w:rPr>
          <w:b w:val="false"/>
          <w:sz w:val="24"/>
        </w:rPr>
      </w:pPr>
      <w:r>
        <w:rPr>
          <w:b w:val="false"/>
          <w:sz w:val="24"/>
        </w:rPr>
        <w:t>MPC Notification:</w:t>
        <w:tab/>
        <w:t xml:space="preserve">Both parties agree to notify MPC of the pending transaction.  . </w:t>
      </w:r>
    </w:p>
    <w:p>
      <w:pPr>
        <w:pStyle w:val="Comments"/>
        <w:rPr>
          <w:b w:val="false"/>
          <w:sz w:val="24"/>
        </w:rPr>
      </w:pPr>
      <w:r>
        <w:rPr>
          <w:b w:val="false"/>
          <w:sz w:val="24"/>
        </w:rPr>
        <w:t>Quantity:</w:t>
        <w:tab/>
        <w:tab/>
        <w:t xml:space="preserve">Six (6) MW  </w:t>
      </w:r>
    </w:p>
    <w:p>
      <w:pPr>
        <w:pStyle w:val="Comments"/>
        <w:rPr>
          <w:b w:val="false"/>
          <w:sz w:val="24"/>
        </w:rPr>
      </w:pPr>
      <w:r>
        <w:rPr>
          <w:b w:val="false"/>
          <w:sz w:val="24"/>
        </w:rPr>
        <w:t>Delivery Point:</w:t>
        <w:tab/>
        <w:t>Montana Power Company (MPC) system border.</w:t>
      </w:r>
    </w:p>
    <w:p>
      <w:pPr>
        <w:pStyle w:val="Normal"/>
        <w:rPr>
          <w:b/>
          <w:sz w:val="24"/>
        </w:rPr>
      </w:pPr>
      <w:r>
        <w:rPr>
          <w:b/>
          <w:sz w:val="24"/>
        </w:rPr>
      </w:r>
    </w:p>
    <w:p>
      <w:pPr>
        <w:pStyle w:val="Normal"/>
        <w:ind w:hanging="2160" w:start="2160" w:end="0"/>
        <w:rPr>
          <w:sz w:val="24"/>
        </w:rPr>
      </w:pPr>
      <w:r>
        <w:rPr>
          <w:sz w:val="24"/>
        </w:rPr>
        <w:t>Term:</w:t>
        <w:tab/>
        <w:t xml:space="preserve">Hour Ending (HE) 1:00 Pacific Prevailing Time (PPT) July 15, 2001 through and including HE 24:00 PPT June 30, 2011. </w:t>
      </w:r>
    </w:p>
    <w:p>
      <w:pPr>
        <w:pStyle w:val="Comments"/>
        <w:ind w:hanging="2160" w:start="2160" w:end="0"/>
        <w:rPr>
          <w:b w:val="false"/>
          <w:sz w:val="24"/>
        </w:rPr>
      </w:pPr>
      <w:r>
        <w:rPr>
          <w:b w:val="false"/>
          <w:sz w:val="24"/>
        </w:rPr>
        <w:t>Price:</w:t>
        <w:tab/>
        <w:t>$42.75/MWh flat.</w:t>
      </w:r>
    </w:p>
    <w:p>
      <w:pPr>
        <w:pStyle w:val="Normal"/>
        <w:rPr>
          <w:sz w:val="24"/>
        </w:rPr>
      </w:pPr>
      <w:r>
        <w:rPr/>
        <w:tab/>
        <w:tab/>
        <w:tab/>
      </w:r>
    </w:p>
    <w:p>
      <w:pPr>
        <w:pStyle w:val="Comments"/>
        <w:ind w:hanging="2160" w:start="2160" w:end="0"/>
        <w:rPr>
          <w:b w:val="false"/>
          <w:sz w:val="24"/>
        </w:rPr>
      </w:pPr>
      <w:r>
        <w:rPr>
          <w:b w:val="false"/>
          <w:sz w:val="24"/>
        </w:rPr>
        <w:t>Scheduling:</w:t>
        <w:tab/>
        <w:t>Express Pipeline and Enron agree on scheduling provisions consistent with WSCC industry standard practice and any applicable MPC retail system scheduling requirements.</w:t>
      </w:r>
    </w:p>
    <w:p>
      <w:pPr>
        <w:pStyle w:val="Normal"/>
        <w:rPr>
          <w:b/>
          <w:sz w:val="24"/>
        </w:rPr>
      </w:pPr>
      <w:r>
        <w:rPr>
          <w:b/>
          <w:sz w:val="24"/>
        </w:rPr>
      </w:r>
    </w:p>
    <w:p>
      <w:pPr>
        <w:pStyle w:val="BodyText"/>
        <w:ind w:hanging="2160" w:start="2160" w:end="0"/>
        <w:rPr>
          <w:sz w:val="24"/>
        </w:rPr>
      </w:pPr>
      <w:r>
        <w:rPr>
          <w:sz w:val="24"/>
        </w:rPr>
        <w:t>Billing:</w:t>
        <w:tab/>
        <w:t>EPMI will bill Express Pipeline</w:t>
      </w:r>
    </w:p>
    <w:p>
      <w:pPr>
        <w:pStyle w:val="Normal"/>
        <w:rPr>
          <w:sz w:val="24"/>
        </w:rPr>
      </w:pPr>
      <w:r>
        <w:rPr>
          <w:sz w:val="24"/>
        </w:rPr>
      </w:r>
    </w:p>
    <w:p>
      <w:pPr>
        <w:pStyle w:val="BodyTextIndent"/>
        <w:ind w:hanging="0" w:start="90" w:end="0"/>
        <w:rPr>
          <w:sz w:val="24"/>
        </w:rPr>
      </w:pPr>
      <w:r>
        <w:rPr>
          <w:sz w:val="24"/>
        </w:rPr>
      </w:r>
    </w:p>
    <w:p>
      <w:pPr>
        <w:pStyle w:val="BodyTextIndent"/>
        <w:ind w:hanging="0" w:start="90" w:end="0"/>
        <w:rPr/>
      </w:pPr>
      <w:r>
        <w:rPr/>
        <w:t>Thanks again and please acknowledge your acceptance via some form of written correspondence.</w:t>
      </w:r>
    </w:p>
    <w:p>
      <w:pPr>
        <w:pStyle w:val="BodyTextIndent"/>
        <w:ind w:hanging="0" w:start="90" w:end="0"/>
        <w:rPr/>
      </w:pPr>
      <w:r>
        <w:rPr/>
      </w:r>
    </w:p>
    <w:p>
      <w:pPr>
        <w:pStyle w:val="BodyTextIndent"/>
        <w:ind w:hanging="0" w:start="90" w:end="0"/>
        <w:rPr/>
      </w:pPr>
      <w:r>
        <w:rPr/>
        <w:t>John</w:t>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880" w:start="2880" w:end="0"/>
      <w:jc w:val="both"/>
    </w:pPr>
    <w:rPr>
      <w:sz w:val="24"/>
    </w:rPr>
  </w:style>
  <w:style w:type="paragraph" w:styleId="BodyText2">
    <w:name w:val="Body Text 2"/>
    <w:basedOn w:val="Normal"/>
    <w:qFormat/>
    <w:pPr/>
    <w:rPr>
      <w:sz w:val="24"/>
    </w:rPr>
  </w:style>
  <w:style w:type="paragraph" w:styleId="BodyTextIndent2">
    <w:name w:val="Body Text Indent 2"/>
    <w:basedOn w:val="Normal"/>
    <w:qFormat/>
    <w:pPr>
      <w:ind w:hanging="2160" w:start="21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2001-06-28T21:54:00Z</dcterms:created>
  <dc:creator>ect</dc:creator>
  <dc:description/>
  <dc:language>en-CA</dc:language>
  <cp:lastModifiedBy>jmalown</cp:lastModifiedBy>
  <cp:lastPrinted>2001-06-28T16:58:00Z</cp:lastPrinted>
  <dcterms:modified xsi:type="dcterms:W3CDTF">2001-06-28T22:04:00Z</dcterms:modified>
  <cp:revision>3</cp:revision>
  <dc:subject/>
  <dc:title>Create a cover sheet for an Enron Capital &amp; Trade Resources fax.</dc:title>
</cp:coreProperties>
</file>