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s"/>
        <w:spacing w:before="240" w:after="120"/>
        <w:jc w:val="center"/>
        <w:rPr>
          <w:sz w:val="24"/>
        </w:rPr>
      </w:pPr>
      <w:r>
        <w:rPr>
          <w:sz w:val="24"/>
        </w:rPr>
        <w:t>Transaction Summary</w:t>
      </w:r>
    </w:p>
    <w:p>
      <w:pPr>
        <w:pStyle w:val="Comments"/>
        <w:jc w:val="center"/>
        <w:rPr>
          <w:sz w:val="24"/>
        </w:rPr>
      </w:pPr>
      <w:r>
        <w:rPr>
          <w:sz w:val="24"/>
        </w:rPr>
        <w:t>June 8, 2001</w:t>
      </w:r>
    </w:p>
    <w:p>
      <w:pPr>
        <w:pStyle w:val="Normal"/>
        <w:rPr>
          <w:sz w:val="24"/>
        </w:rPr>
      </w:pPr>
      <w:r>
        <w:rPr>
          <w:sz w:val="24"/>
        </w:rPr>
      </w:r>
    </w:p>
    <w:p>
      <w:pPr>
        <w:pStyle w:val="BodyText2"/>
        <w:rPr/>
      </w:pPr>
      <w:r>
        <w:rPr/>
        <w:t xml:space="preserve">This document sets out the basic terms and conditions with which we wish to enter into, neither party is agreeing to be legally bound to these terms until they are properly documented in a Confirmation Letter issued by our Houston office in approximately one week. </w:t>
      </w:r>
    </w:p>
    <w:p>
      <w:pPr>
        <w:pStyle w:val="Normal"/>
        <w:rPr>
          <w:sz w:val="24"/>
        </w:rPr>
      </w:pPr>
      <w:r>
        <w:rPr>
          <w:sz w:val="24"/>
        </w:rPr>
      </w:r>
    </w:p>
    <w:p>
      <w:pPr>
        <w:pStyle w:val="Normal"/>
        <w:rPr>
          <w:sz w:val="24"/>
        </w:rPr>
      </w:pPr>
      <w:r>
        <w:rPr>
          <w:sz w:val="24"/>
        </w:rPr>
        <w:t xml:space="preserve"> </w:t>
      </w:r>
      <w:r>
        <w:rPr>
          <w:sz w:val="24"/>
        </w:rPr>
        <w:t xml:space="preserve">If you have any questions please do not hesitate to give me a call at your earliest convenience.  </w:t>
      </w:r>
    </w:p>
    <w:p>
      <w:pPr>
        <w:pStyle w:val="Normal"/>
        <w:rPr>
          <w:sz w:val="24"/>
        </w:rPr>
      </w:pPr>
      <w:r>
        <w:rPr>
          <w:sz w:val="24"/>
        </w:rPr>
      </w:r>
    </w:p>
    <w:p>
      <w:pPr>
        <w:pStyle w:val="Normal"/>
        <w:rPr>
          <w:sz w:val="24"/>
        </w:rPr>
      </w:pPr>
      <w:r>
        <w:rPr>
          <w:sz w:val="24"/>
        </w:rPr>
        <w:t>Seller:</w:t>
        <w:tab/>
        <w:tab/>
        <w:tab/>
        <w:t>Enron Power Marketing Incorporated (EPMI)</w:t>
      </w:r>
    </w:p>
    <w:p>
      <w:pPr>
        <w:pStyle w:val="Normal"/>
        <w:rPr>
          <w:sz w:val="24"/>
        </w:rPr>
      </w:pPr>
      <w:r>
        <w:rPr>
          <w:sz w:val="24"/>
        </w:rPr>
      </w:r>
    </w:p>
    <w:p>
      <w:pPr>
        <w:pStyle w:val="Normal"/>
        <w:rPr>
          <w:sz w:val="24"/>
        </w:rPr>
      </w:pPr>
      <w:r>
        <w:rPr>
          <w:sz w:val="24"/>
        </w:rPr>
        <w:t>Buyer:</w:t>
        <w:tab/>
        <w:tab/>
        <w:tab/>
        <w:t>Louisiana-Pacific Corporation (L-P)</w:t>
      </w:r>
    </w:p>
    <w:p>
      <w:pPr>
        <w:pStyle w:val="Normal"/>
        <w:rPr>
          <w:sz w:val="24"/>
        </w:rPr>
      </w:pPr>
      <w:r>
        <w:rPr>
          <w:sz w:val="24"/>
        </w:rPr>
      </w:r>
    </w:p>
    <w:p>
      <w:pPr>
        <w:pStyle w:val="Normal"/>
        <w:rPr>
          <w:sz w:val="24"/>
        </w:rPr>
      </w:pPr>
      <w:r>
        <w:rPr>
          <w:sz w:val="24"/>
        </w:rPr>
        <w:t>Commodity:</w:t>
        <w:tab/>
        <w:tab/>
        <w:t>Contractually and financially firm energy.</w:t>
      </w:r>
    </w:p>
    <w:p>
      <w:pPr>
        <w:pStyle w:val="Normal"/>
        <w:rPr>
          <w:sz w:val="24"/>
        </w:rPr>
      </w:pPr>
      <w:r>
        <w:rPr>
          <w:sz w:val="24"/>
        </w:rPr>
      </w:r>
    </w:p>
    <w:p>
      <w:pPr>
        <w:pStyle w:val="Normal"/>
        <w:rPr>
          <w:sz w:val="24"/>
        </w:rPr>
      </w:pPr>
      <w:r>
        <w:rPr>
          <w:sz w:val="24"/>
        </w:rPr>
        <w:t>Quantity:</w:t>
        <w:tab/>
        <w:tab/>
        <w:t xml:space="preserve">Varies by month, please see-accompanying table. </w:t>
      </w:r>
    </w:p>
    <w:p>
      <w:pPr>
        <w:pStyle w:val="Normal"/>
        <w:rPr>
          <w:sz w:val="24"/>
        </w:rPr>
      </w:pPr>
      <w:r>
        <w:rPr>
          <w:sz w:val="24"/>
        </w:rPr>
      </w:r>
    </w:p>
    <w:p>
      <w:pPr>
        <w:pStyle w:val="Normal"/>
        <w:rPr>
          <w:sz w:val="24"/>
        </w:rPr>
      </w:pPr>
      <w:r>
        <w:rPr>
          <w:sz w:val="24"/>
        </w:rPr>
        <w:t>Load Factor:</w:t>
        <w:tab/>
        <w:tab/>
        <w:t>100 % (“Flat”) for all hours’ energy is delivered.</w:t>
      </w:r>
    </w:p>
    <w:p>
      <w:pPr>
        <w:pStyle w:val="Normal"/>
        <w:rPr>
          <w:sz w:val="24"/>
        </w:rPr>
      </w:pPr>
      <w:r>
        <w:rPr>
          <w:sz w:val="24"/>
        </w:rPr>
      </w:r>
    </w:p>
    <w:p>
      <w:pPr>
        <w:pStyle w:val="Normal"/>
        <w:rPr>
          <w:sz w:val="24"/>
        </w:rPr>
      </w:pPr>
      <w:r>
        <w:rPr>
          <w:sz w:val="24"/>
        </w:rPr>
        <w:t>Losses:</w:t>
        <w:tab/>
        <w:tab/>
        <w:t>EPMI is responsible for losses up to the Delivery Point.  L-P</w:t>
        <w:tab/>
        <w:tab/>
        <w:tab/>
        <w:tab/>
        <w:t>is responsible for losses from and beyond that point.</w:t>
      </w:r>
    </w:p>
    <w:p>
      <w:pPr>
        <w:pStyle w:val="Normal"/>
        <w:rPr>
          <w:sz w:val="24"/>
        </w:rPr>
      </w:pPr>
      <w:r>
        <w:rPr>
          <w:sz w:val="24"/>
        </w:rPr>
      </w:r>
    </w:p>
    <w:p>
      <w:pPr>
        <w:pStyle w:val="Normal"/>
        <w:rPr>
          <w:sz w:val="24"/>
        </w:rPr>
      </w:pPr>
      <w:r>
        <w:rPr>
          <w:sz w:val="24"/>
        </w:rPr>
        <w:t>Delivery Point:</w:t>
        <w:tab/>
        <w:t>Montana Power Company (MPC) system border.</w:t>
      </w:r>
    </w:p>
    <w:p>
      <w:pPr>
        <w:pStyle w:val="Normal"/>
        <w:rPr>
          <w:sz w:val="24"/>
        </w:rPr>
      </w:pPr>
      <w:r>
        <w:rPr>
          <w:sz w:val="24"/>
        </w:rPr>
      </w:r>
    </w:p>
    <w:p>
      <w:pPr>
        <w:pStyle w:val="Normal"/>
        <w:ind w:hanging="2160" w:start="2160" w:end="0"/>
        <w:rPr>
          <w:sz w:val="24"/>
        </w:rPr>
      </w:pPr>
      <w:r>
        <w:rPr>
          <w:sz w:val="24"/>
        </w:rPr>
        <w:t>Term:</w:t>
        <w:tab/>
        <w:t>Commencing Hour Ending (HE) 1:00 Pacific Prevailing Time (PPT) July 1, 2001 through and including HE 24:00 PPT December 31, 2007.</w:t>
      </w:r>
    </w:p>
    <w:p>
      <w:pPr>
        <w:pStyle w:val="Normal"/>
        <w:rPr>
          <w:sz w:val="24"/>
        </w:rPr>
      </w:pPr>
      <w:r>
        <w:rPr>
          <w:sz w:val="24"/>
        </w:rPr>
      </w:r>
    </w:p>
    <w:p>
      <w:pPr>
        <w:pStyle w:val="Normal"/>
        <w:rPr>
          <w:sz w:val="24"/>
        </w:rPr>
      </w:pPr>
      <w:r>
        <w:rPr>
          <w:sz w:val="24"/>
        </w:rPr>
        <w:t>Fixed Price:</w:t>
        <w:tab/>
        <w:tab/>
        <w:t>$49.00/MWh</w:t>
      </w:r>
    </w:p>
    <w:p>
      <w:pPr>
        <w:pStyle w:val="Normal"/>
        <w:rPr>
          <w:sz w:val="24"/>
        </w:rPr>
      </w:pPr>
      <w:r>
        <w:rPr>
          <w:sz w:val="24"/>
        </w:rPr>
      </w:r>
    </w:p>
    <w:p>
      <w:pPr>
        <w:pStyle w:val="Normal"/>
        <w:ind w:hanging="2160" w:start="2160" w:end="0"/>
        <w:rPr>
          <w:sz w:val="24"/>
        </w:rPr>
      </w:pPr>
      <w:r>
        <w:rPr>
          <w:sz w:val="24"/>
        </w:rPr>
        <w:t>Scheduling:</w:t>
        <w:tab/>
        <w:t>Louisiana-Pacific and Enron agree on scheduling provisions consistent with WSCC industry standard practice.</w:t>
      </w:r>
    </w:p>
    <w:p>
      <w:pPr>
        <w:pStyle w:val="Normal"/>
        <w:ind w:hanging="2160" w:start="2160" w:end="0"/>
        <w:rPr>
          <w:sz w:val="24"/>
        </w:rPr>
      </w:pPr>
      <w:r>
        <w:rPr>
          <w:sz w:val="24"/>
        </w:rPr>
      </w:r>
    </w:p>
    <w:p>
      <w:pPr>
        <w:pStyle w:val="Normal"/>
        <w:rPr>
          <w:sz w:val="24"/>
        </w:rPr>
      </w:pPr>
      <w:r>
        <w:rPr>
          <w:sz w:val="24"/>
        </w:rPr>
        <w:t>Billing:</w:t>
        <w:tab/>
        <w:tab/>
        <w:t xml:space="preserve">EPMI will bill the customer on a monthly basis. </w:t>
      </w:r>
    </w:p>
    <w:p>
      <w:pPr>
        <w:pStyle w:val="Normal"/>
        <w:rPr>
          <w:sz w:val="24"/>
        </w:rPr>
      </w:pPr>
      <w:r>
        <w:rPr>
          <w:sz w:val="24"/>
        </w:rPr>
      </w:r>
    </w:p>
    <w:p>
      <w:pPr>
        <w:pStyle w:val="BodyText2"/>
        <w:ind w:hanging="2160" w:start="2160" w:end="0"/>
        <w:rPr/>
      </w:pPr>
      <w:r>
        <w:rPr/>
        <w:t>Transmission:</w:t>
        <w:tab/>
        <w:t>EPMI is responsible for transmission up to the Point of Delivery.  Louisiana-Pacific is responsible for transmission from and beyond that point.</w:t>
      </w:r>
    </w:p>
    <w:p>
      <w:pPr>
        <w:pStyle w:val="BodyText2"/>
        <w:ind w:hanging="2160" w:start="2160" w:end="0"/>
        <w:rPr/>
      </w:pPr>
      <w:r>
        <w:rPr/>
      </w:r>
    </w:p>
    <w:p>
      <w:pPr>
        <w:pStyle w:val="BodyText2"/>
        <w:ind w:hanging="2160" w:start="2160" w:end="0"/>
        <w:rPr/>
      </w:pPr>
      <w:r>
        <w:rPr/>
      </w:r>
    </w:p>
    <w:p>
      <w:pPr>
        <w:pStyle w:val="Normal"/>
        <w:rPr>
          <w:sz w:val="24"/>
        </w:rPr>
      </w:pPr>
      <w:r>
        <w:rPr>
          <w:sz w:val="24"/>
        </w:rPr>
        <w:t>Please don’t hesitate to give me a call at your earliest convenience if you have any questions. Thanks Again !!  John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r>
    </w:p>
    <w:p>
      <w:pPr>
        <w:pStyle w:val="Heading2"/>
        <w:ind w:hanging="0" w:start="0"/>
        <w:rPr/>
      </w:pPr>
      <w:r>
        <w:rPr/>
        <w:t>Monthly MW Volumes</w:t>
      </w:r>
    </w:p>
    <w:p>
      <w:pPr>
        <w:pStyle w:val="Normal"/>
        <w:jc w:val="center"/>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Term</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Volume (MW)</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Jul-01 to Sep-01</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8</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Mar-02 to Jun-02</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Oct-02 to Jun-03</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Oct-03 to Jun-04</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Oct-04 to Jun-05</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Oct-05 to Jun-06</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Oct-06 to Jun-07</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Oct-07 to Dec-07</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10</w:t>
            </w:r>
          </w:p>
        </w:tc>
      </w:tr>
    </w:tbl>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next w:val="Normal"/>
    <w:qFormat/>
    <w:pPr>
      <w:spacing w:before="240" w:after="120"/>
    </w:pPr>
    <w:rPr>
      <w:rFonts w:ascii="Arial" w:hAnsi="Arial" w:cs="Arial"/>
      <w:b/>
      <w:sz w:val="28"/>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2001-06-08T20:01:00Z</dcterms:created>
  <dc:creator>jmalown</dc:creator>
  <dc:description/>
  <dc:language>en-CA</dc:language>
  <cp:lastModifiedBy>jmalown</cp:lastModifiedBy>
  <cp:lastPrinted>2001-06-08T15:53:00Z</cp:lastPrinted>
  <dcterms:modified xsi:type="dcterms:W3CDTF">2001-06-08T20:26:00Z</dcterms:modified>
  <cp:revision>6</cp:revision>
  <dc:subject/>
  <dc:title>Seller:</dc:title>
</cp:coreProperties>
</file>