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pPr>
      <w:r>
        <w:rPr/>
        <w:tab/>
      </w:r>
    </w:p>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(COMMODITY SWAP)</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p>
    <w:p>
      <w:pPr>
        <w:pStyle w:val="Normal"/>
        <w:tabs>
          <w:tab w:val="clear" w:pos="720"/>
          <w:tab w:val="left" w:pos="2160" w:leader="none"/>
          <w:tab w:val="left" w:pos="6480" w:leader="none"/>
        </w:tabs>
        <w:ind w:start="-720" w:end="0"/>
        <w:rPr>
          <w:sz w:val="22"/>
        </w:rPr>
      </w:pPr>
      <w:r>
        <w:rPr>
          <w:sz w:val="22"/>
        </w:rPr>
        <w:t>To:</w:t>
        <w:tab/>
        <w:t>PacifiCorp (“Party B")</w:t>
      </w:r>
    </w:p>
    <w:p>
      <w:pPr>
        <w:pStyle w:val="Normal"/>
        <w:tabs>
          <w:tab w:val="clear" w:pos="720"/>
          <w:tab w:val="left" w:pos="2160" w:leader="none"/>
          <w:tab w:val="left" w:pos="6480" w:leader="none"/>
        </w:tabs>
        <w:ind w:start="-720" w:end="0"/>
        <w:rPr>
          <w:sz w:val="22"/>
        </w:rPr>
      </w:pPr>
      <w:r>
        <w:rPr>
          <w:sz w:val="22"/>
        </w:rPr>
        <w:t>Attention:</w:t>
        <w:tab/>
      </w:r>
    </w:p>
    <w:p>
      <w:pPr>
        <w:pStyle w:val="Normal"/>
        <w:tabs>
          <w:tab w:val="clear" w:pos="720"/>
          <w:tab w:val="left" w:pos="2160" w:leader="none"/>
          <w:tab w:val="left" w:pos="6480" w:leader="none"/>
        </w:tabs>
        <w:ind w:start="-720" w:end="0"/>
        <w:rPr>
          <w:sz w:val="22"/>
        </w:rPr>
      </w:pPr>
      <w:r>
        <w:rPr>
          <w:sz w:val="22"/>
        </w:rPr>
        <w:t>Fax No.:</w:t>
        <w:tab/>
      </w:r>
    </w:p>
    <w:p>
      <w:pPr>
        <w:pStyle w:val="Normal"/>
        <w:tabs>
          <w:tab w:val="clear" w:pos="720"/>
          <w:tab w:val="left" w:pos="2160" w:leader="none"/>
          <w:tab w:val="left" w:pos="6480" w:leader="none"/>
        </w:tabs>
        <w:ind w:start="-720" w:end="0"/>
        <w:rPr>
          <w:sz w:val="22"/>
        </w:rPr>
      </w:pPr>
      <w:r>
        <w:rPr>
          <w:sz w:val="22"/>
        </w:rPr>
        <w:t>From:</w:t>
        <w:tab/>
        <w:t>Enron Capital &amp; Trade Resources Corp. ("Party A")</w:t>
      </w:r>
    </w:p>
    <w:p>
      <w:pPr>
        <w:pStyle w:val="Normal"/>
        <w:tabs>
          <w:tab w:val="clear" w:pos="720"/>
          <w:tab w:val="left" w:pos="2160" w:leader="none"/>
          <w:tab w:val="left" w:pos="6480" w:leader="none"/>
        </w:tabs>
        <w:ind w:start="-720" w:end="0"/>
        <w:rPr>
          <w:sz w:val="22"/>
        </w:rPr>
      </w:pPr>
      <w:r>
        <w:rPr>
          <w:sz w:val="22"/>
        </w:rPr>
        <w:t>Re:</w:t>
        <w:tab/>
        <w:t>Commodity Swap</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pPr>
      <w:r>
        <w:rPr>
          <w:sz w:val="22"/>
        </w:rPr>
        <w:tab/>
        <w:t xml:space="preserve">1.  This Confirmation supplements, forms part of, and is subject to, the ISDA Master Agreement dated as of </w:t>
      </w:r>
      <w:r>
        <w:rPr>
          <w:rFonts w:eastAsia="Symbol" w:cs="Symbol" w:ascii="Symbol" w:hAnsi="Symbol"/>
          <w:sz w:val="22"/>
        </w:rPr>
        <w:sym w:font="Symbol" w:char="f03c"/>
        <w:sym w:font="Symbol" w:char="f03c"/>
      </w:r>
      <w:r>
        <w:rPr>
          <w:sz w:val="22"/>
        </w:rPr>
        <w:t>FinancialMasterDate</w:t>
      </w:r>
      <w:r>
        <w:rPr>
          <w:rFonts w:eastAsia="Symbol" w:cs="Symbol" w:ascii="Symbol" w:hAnsi="Symbol"/>
          <w:sz w:val="22"/>
        </w:rPr>
        <w:sym w:font="Symbol" w:char="f03e"/>
        <w:sym w:font="Symbol" w:char="f03e"/>
      </w:r>
      <w:r>
        <w:rPr>
          <w:sz w:val="22"/>
        </w:rPr>
        <w:t xml:space="preserve">,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The terms of the particular Transaction to which this Confirmation relates are as follows:</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b/>
          <w:sz w:val="22"/>
        </w:rPr>
      </w:pPr>
      <w:r>
        <w:rPr>
          <w:b/>
          <w:sz w:val="22"/>
        </w:rPr>
        <w:t>General Terms:</w:t>
      </w:r>
    </w:p>
    <w:p>
      <w:pPr>
        <w:pStyle w:val="BodyTextIndent"/>
        <w:tabs>
          <w:tab w:val="left" w:pos="90" w:leader="none"/>
          <w:tab w:val="left" w:pos="216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Calculation Period:</w:t>
        <w:tab/>
        <w:t xml:space="preserve"> </w:t>
        <w:tab/>
        <w:t>20 MW per hour (Mid-C)</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 xml:space="preserve"> Electricity</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MWh (Megawatt hours)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October 1, 1999</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Termination Date:</w:t>
        <w:tab/>
        <w:tab/>
        <w:t>December 31, 2011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4140" w:start="4140" w:end="-990"/>
        <w:rPr>
          <w:sz w:val="22"/>
        </w:rPr>
      </w:pPr>
      <w:r>
        <w:rPr>
          <w:sz w:val="22"/>
        </w:rPr>
        <w:tab/>
        <w:t>Calculation Period(s):</w:t>
        <w:tab/>
        <w:tab/>
        <w:t>Each hour during the hours of HE 0100 through HE 2400 PPT of each calendar day beginning with October 1, 1999, and ending on December 31, 2001.</w:t>
      </w:r>
    </w:p>
    <w:p>
      <w:pPr>
        <w:pStyle w:val="BodyTextIndent"/>
        <w:tabs>
          <w:tab w:val="left" w:pos="90" w:leader="none"/>
          <w:tab w:val="left" w:pos="2160" w:leader="none"/>
          <w:tab w:val="left" w:pos="4140" w:leader="none"/>
          <w:tab w:val="left" w:pos="6480" w:leader="none"/>
        </w:tabs>
        <w:ind w:start="0" w:end="-990"/>
        <w:rPr>
          <w:sz w:val="22"/>
        </w:rPr>
      </w:pPr>
      <w:r>
        <w:rPr>
          <w:sz w:val="22"/>
        </w:rPr>
        <w:tab/>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6480" w:leader="none"/>
        </w:tabs>
        <w:ind w:hanging="4140" w:start="4140" w:end="-630"/>
        <w:rPr/>
      </w:pPr>
      <w:r>
        <w:rPr>
          <w:sz w:val="22"/>
        </w:rPr>
        <w:tab/>
        <w:t>Payment Date(s):</w:t>
        <w:tab/>
        <w:tab/>
        <w:t>The fifth (5</w:t>
      </w:r>
      <w:r>
        <w:rPr>
          <w:sz w:val="22"/>
          <w:vertAlign w:val="superscript"/>
        </w:rPr>
        <w:t>th</w:t>
      </w:r>
      <w:r>
        <w:rPr>
          <w:sz w:val="22"/>
        </w:rPr>
        <w:t xml:space="preserve"> Business Day following the date on which the Floating Price is determinable for the final Calculation Period of each month during the term of this Transaction.</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Fixed Price Payer:</w:t>
        <w:tab/>
        <w:tab/>
        <w:t>Party B</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4050" w:start="4140" w:end="0"/>
        <w:rPr>
          <w:sz w:val="22"/>
        </w:rPr>
      </w:pPr>
      <w:r>
        <w:rPr>
          <w:sz w:val="22"/>
        </w:rPr>
        <w:t>Fixed Price:</w:t>
        <w:tab/>
        <w:tab/>
        <w:t>US $ 88.38</w:t>
      </w:r>
    </w:p>
    <w:p>
      <w:pPr>
        <w:pStyle w:val="BodyTextIndent"/>
        <w:tabs>
          <w:tab w:val="clear" w:pos="90"/>
          <w:tab w:val="clear" w:pos="2160"/>
          <w:tab w:val="clear" w:pos="6480"/>
        </w:tabs>
        <w:ind w:hanging="4050" w:start="4140" w:end="0"/>
        <w:rPr>
          <w:sz w:val="22"/>
        </w:rPr>
      </w:pPr>
      <w:r>
        <w:rPr>
          <w:sz w:val="22"/>
        </w:rPr>
        <w:tab/>
        <w:t>US $ 90.44</w:t>
      </w:r>
    </w:p>
    <w:p>
      <w:pPr>
        <w:pStyle w:val="BodyTextIndent"/>
        <w:tabs>
          <w:tab w:val="clear" w:pos="90"/>
          <w:tab w:val="clear" w:pos="2160"/>
          <w:tab w:val="clear" w:pos="6480"/>
        </w:tabs>
        <w:ind w:hanging="4050" w:start="4140" w:end="0"/>
        <w:rPr>
          <w:sz w:val="22"/>
        </w:rPr>
      </w:pPr>
      <w:r>
        <w:rPr>
          <w:sz w:val="22"/>
        </w:rPr>
        <w:tab/>
        <w:t>US $ 92.65</w:t>
      </w:r>
    </w:p>
    <w:p>
      <w:pPr>
        <w:pStyle w:val="BodyTextIndent"/>
        <w:tabs>
          <w:tab w:val="clear" w:pos="90"/>
          <w:tab w:val="clear" w:pos="2160"/>
          <w:tab w:val="clear" w:pos="6480"/>
        </w:tabs>
        <w:ind w:hanging="4050" w:start="4140" w:end="0"/>
        <w:rPr>
          <w:sz w:val="22"/>
        </w:rPr>
      </w:pPr>
      <w:r>
        <w:rPr>
          <w:sz w:val="22"/>
        </w:rPr>
        <w:tab/>
        <w:t>US $ 87.25</w:t>
      </w:r>
    </w:p>
    <w:p>
      <w:pPr>
        <w:pStyle w:val="BodyTextIndent"/>
        <w:tabs>
          <w:tab w:val="left" w:pos="90" w:leader="none"/>
          <w:tab w:val="left" w:pos="2160" w:leader="none"/>
          <w:tab w:val="left" w:pos="4140" w:leader="none"/>
          <w:tab w:val="left" w:pos="4320" w:leader="none"/>
          <w:tab w:val="left" w:pos="6480" w:leader="none"/>
        </w:tabs>
        <w:ind w:hanging="4050" w:start="4140" w:end="0"/>
        <w:rPr>
          <w:sz w:val="22"/>
        </w:rPr>
      </w:pPr>
      <w:r>
        <w:rPr>
          <w:sz w:val="22"/>
        </w:rPr>
        <w:tab/>
        <w:tab/>
        <w:t>US $ 89.74</w:t>
      </w:r>
    </w:p>
    <w:p>
      <w:pPr>
        <w:pStyle w:val="BodyTextIndent"/>
        <w:tabs>
          <w:tab w:val="clear" w:pos="90"/>
          <w:tab w:val="clear" w:pos="2160"/>
          <w:tab w:val="clear" w:pos="6480"/>
        </w:tabs>
        <w:ind w:hanging="4050" w:start="4140" w:end="0"/>
        <w:rPr>
          <w:sz w:val="22"/>
        </w:rPr>
      </w:pPr>
      <w:r>
        <w:rPr>
          <w:sz w:val="22"/>
        </w:rPr>
        <w:tab/>
        <w:t>US $130.02</w:t>
      </w:r>
    </w:p>
    <w:p>
      <w:pPr>
        <w:pStyle w:val="BodyTextIndent"/>
        <w:tabs>
          <w:tab w:val="clear" w:pos="90"/>
          <w:tab w:val="clear" w:pos="2160"/>
          <w:tab w:val="clear" w:pos="6480"/>
        </w:tabs>
        <w:ind w:hanging="4050" w:start="4140" w:end="0"/>
        <w:rPr>
          <w:sz w:val="22"/>
        </w:rPr>
      </w:pPr>
      <w:r>
        <w:rPr>
          <w:sz w:val="22"/>
        </w:rPr>
        <w:tab/>
        <w:t>US $132.27</w:t>
      </w:r>
    </w:p>
    <w:p>
      <w:pPr>
        <w:pStyle w:val="BodyTextIndent"/>
        <w:tabs>
          <w:tab w:val="clear" w:pos="90"/>
          <w:tab w:val="clear" w:pos="2160"/>
          <w:tab w:val="clear" w:pos="6480"/>
        </w:tabs>
        <w:ind w:hanging="4050" w:start="4140" w:end="0"/>
        <w:rPr>
          <w:sz w:val="22"/>
        </w:rPr>
      </w:pPr>
      <w:r>
        <w:rPr>
          <w:sz w:val="22"/>
        </w:rPr>
        <w:tab/>
        <w:t>US $134.62</w:t>
      </w:r>
    </w:p>
    <w:p>
      <w:pPr>
        <w:pStyle w:val="BodyTextIndent"/>
        <w:tabs>
          <w:tab w:val="left" w:pos="90" w:leader="none"/>
          <w:tab w:val="left" w:pos="2160" w:leader="none"/>
          <w:tab w:val="left" w:pos="4140" w:leader="none"/>
          <w:tab w:val="left" w:pos="4320" w:leader="none"/>
          <w:tab w:val="left" w:pos="6480" w:leader="none"/>
        </w:tabs>
        <w:ind w:hanging="4050" w:start="4140" w:end="0"/>
        <w:rPr>
          <w:sz w:val="22"/>
        </w:rPr>
      </w:pPr>
      <w:r>
        <w:rPr>
          <w:sz w:val="22"/>
        </w:rPr>
        <w:tab/>
        <w:tab/>
        <w:t>US $137.12</w:t>
      </w:r>
    </w:p>
    <w:p>
      <w:pPr>
        <w:pStyle w:val="BodyTextIndent"/>
        <w:tabs>
          <w:tab w:val="clear" w:pos="90"/>
          <w:tab w:val="clear" w:pos="2160"/>
          <w:tab w:val="clear" w:pos="6480"/>
        </w:tabs>
        <w:ind w:hanging="4050" w:start="4140" w:end="0"/>
        <w:rPr>
          <w:sz w:val="22"/>
        </w:rPr>
      </w:pPr>
      <w:r>
        <w:rPr>
          <w:sz w:val="22"/>
        </w:rPr>
        <w:tab/>
        <w:t>US $139.77</w:t>
      </w:r>
    </w:p>
    <w:p>
      <w:pPr>
        <w:pStyle w:val="BodyTextIndent"/>
        <w:tabs>
          <w:tab w:val="clear" w:pos="90"/>
          <w:tab w:val="clear" w:pos="2160"/>
          <w:tab w:val="clear" w:pos="6480"/>
        </w:tabs>
        <w:ind w:hanging="4050" w:start="4140" w:end="0"/>
        <w:rPr>
          <w:sz w:val="22"/>
        </w:rPr>
      </w:pPr>
      <w:r>
        <w:rPr>
          <w:sz w:val="22"/>
        </w:rPr>
        <w:tab/>
        <w:t>US $142.51</w:t>
      </w:r>
    </w:p>
    <w:p>
      <w:pPr>
        <w:pStyle w:val="BodyTextIndent"/>
        <w:tabs>
          <w:tab w:val="clear" w:pos="90"/>
          <w:tab w:val="clear" w:pos="2160"/>
          <w:tab w:val="clear" w:pos="6480"/>
        </w:tabs>
        <w:ind w:hanging="4050" w:start="4140" w:end="0"/>
        <w:rPr>
          <w:sz w:val="22"/>
        </w:rPr>
      </w:pPr>
      <w:r>
        <w:rPr>
          <w:sz w:val="22"/>
        </w:rPr>
        <w:tab/>
        <w:t>US $145.51</w:t>
      </w:r>
    </w:p>
    <w:p>
      <w:pPr>
        <w:pStyle w:val="BodyTextIndent"/>
        <w:tabs>
          <w:tab w:val="clear" w:pos="90"/>
          <w:tab w:val="clear" w:pos="2160"/>
          <w:tab w:val="clear" w:pos="6480"/>
        </w:tabs>
        <w:ind w:hanging="4050" w:start="4140" w:end="0"/>
        <w:rPr>
          <w:sz w:val="22"/>
        </w:rPr>
      </w:pPr>
      <w:r>
        <w:rPr>
          <w:sz w:val="22"/>
        </w:rPr>
        <w:tab/>
        <w:t>US $148.61</w:t>
      </w:r>
    </w:p>
    <w:p>
      <w:pPr>
        <w:pStyle w:val="BodyTextIndent"/>
        <w:tabs>
          <w:tab w:val="clear" w:pos="90"/>
          <w:tab w:val="clear" w:pos="2160"/>
          <w:tab w:val="clear" w:pos="6480"/>
        </w:tabs>
        <w:ind w:hanging="4050" w:start="414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720" w:end="0"/>
        <w:rPr>
          <w:sz w:val="22"/>
        </w:rPr>
      </w:pPr>
      <w:r>
        <w:rPr>
          <w:sz w:val="22"/>
        </w:rPr>
        <w:tab/>
        <w:t>Floating Price Payer:</w:t>
        <w:tab/>
        <w:tab/>
        <w:t>Party 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Normal"/>
        <w:tabs>
          <w:tab w:val="left" w:pos="720" w:leader="none"/>
          <w:tab w:val="left" w:pos="1440" w:leader="none"/>
          <w:tab w:val="left" w:pos="2160" w:leader="none"/>
          <w:tab w:val="left" w:pos="5040" w:leader="none"/>
          <w:tab w:val="left" w:pos="5760" w:leader="none"/>
          <w:tab w:val="left" w:pos="6480" w:leader="none"/>
        </w:tabs>
        <w:ind w:hanging="4050" w:start="4140" w:end="0"/>
        <w:jc w:val="both"/>
        <w:rPr/>
      </w:pPr>
      <w:r>
        <w:rPr>
          <w:sz w:val="22"/>
        </w:rPr>
        <w:t>Floating Price and Pricing Dates:</w:t>
        <w:tab/>
        <w:t xml:space="preserve">The Floating Price shall be the weighted average of 1) the average of the daily settlement prices listed under the Dow Jones Mid-Columbia Electricity Price Index for Index On-Peak electricity as published by Dow Jones Telerate (Telerate page 38424) for those hours deemed to be On-Peak Hours, (as defined below) during the applicable Determination Period; and 2) the average of the daily settlement prices listed under the Dow Jones Mid-Columbia Electricity Price Index for Index Off-Peak electricity as published by Dow Jones Telerate (Telerate page 38424) for those deemed to be Off-Peak Hours, (as defined below) during the applicable Calculation Period[, plus US Dollars </w:t>
      </w:r>
      <w:r>
        <w:rPr>
          <w:sz w:val="22"/>
          <w:highlight w:val="cyan"/>
        </w:rPr>
        <w:t>$&lt;&lt;IndexOffset&gt;&gt;.</w:t>
      </w:r>
      <w:r>
        <w:rPr>
          <w:sz w:val="22"/>
        </w:rPr>
        <w:t>]</w:t>
      </w:r>
    </w:p>
    <w:p>
      <w:pPr>
        <w:pStyle w:val="Normal"/>
        <w:tabs>
          <w:tab w:val="left" w:pos="720" w:leader="none"/>
          <w:tab w:val="left" w:pos="1440" w:leader="none"/>
          <w:tab w:val="left" w:pos="2160" w:leader="none"/>
          <w:tab w:val="left" w:pos="5040" w:leader="none"/>
          <w:tab w:val="left" w:pos="5760" w:leader="none"/>
          <w:tab w:val="left" w:pos="6480" w:leader="none"/>
        </w:tabs>
        <w:ind w:hanging="18" w:end="0"/>
        <w:jc w:val="both"/>
        <w:rPr>
          <w:sz w:val="22"/>
        </w:rPr>
      </w:pPr>
      <w:r>
        <w:rPr>
          <w:sz w:val="22"/>
        </w:rPr>
      </w:r>
    </w:p>
    <w:p>
      <w:pPr>
        <w:pStyle w:val="Normal"/>
        <w:tabs>
          <w:tab w:val="left" w:pos="720" w:leader="none"/>
          <w:tab w:val="left" w:pos="1440" w:leader="none"/>
          <w:tab w:val="left" w:pos="2160" w:leader="none"/>
          <w:tab w:val="left" w:pos="5040" w:leader="none"/>
          <w:tab w:val="left" w:pos="5760" w:leader="none"/>
          <w:tab w:val="left" w:pos="6480" w:leader="none"/>
        </w:tabs>
        <w:ind w:hanging="18" w:start="4140" w:end="0"/>
        <w:jc w:val="both"/>
        <w:rPr/>
      </w:pPr>
      <w:r>
        <w:rPr>
          <w:u w:val="single"/>
        </w:rPr>
        <w:t>On-Peak hours</w:t>
      </w:r>
      <w:r>
        <w:rPr/>
        <w:t>: HE 0700 through HE 2200 PPT everyday (including Holidays).</w:t>
      </w:r>
    </w:p>
    <w:p>
      <w:pPr>
        <w:pStyle w:val="Normal"/>
        <w:tabs>
          <w:tab w:val="left" w:pos="720" w:leader="none"/>
          <w:tab w:val="left" w:pos="1440" w:leader="none"/>
          <w:tab w:val="left" w:pos="2160" w:leader="none"/>
          <w:tab w:val="left" w:pos="5040" w:leader="none"/>
          <w:tab w:val="left" w:pos="5760" w:leader="none"/>
          <w:tab w:val="left" w:pos="6480" w:leader="none"/>
        </w:tabs>
        <w:ind w:hanging="18" w:start="4140" w:end="0"/>
        <w:jc w:val="both"/>
        <w:rPr>
          <w:u w:val="single"/>
        </w:rPr>
      </w:pPr>
      <w:r>
        <w:rPr>
          <w:u w:val="single"/>
        </w:rPr>
      </w:r>
    </w:p>
    <w:p>
      <w:pPr>
        <w:pStyle w:val="Normal"/>
        <w:tabs>
          <w:tab w:val="left" w:pos="720" w:leader="none"/>
          <w:tab w:val="left" w:pos="1440" w:leader="none"/>
          <w:tab w:val="left" w:pos="2160" w:leader="none"/>
          <w:tab w:val="left" w:pos="5040" w:leader="none"/>
          <w:tab w:val="left" w:pos="5760" w:leader="none"/>
          <w:tab w:val="left" w:pos="6480" w:leader="none"/>
        </w:tabs>
        <w:ind w:hanging="18" w:start="4140" w:end="0"/>
        <w:jc w:val="both"/>
        <w:rPr/>
      </w:pPr>
      <w:r>
        <w:rPr>
          <w:u w:val="single"/>
        </w:rPr>
        <w:t>Off-Peak hours</w:t>
      </w:r>
      <w:r>
        <w:rPr/>
        <w:t>: HE 0100 through 0600 PPT everyday (including Holidays) and HE 2300 through HE 2400 PPT every day (including Holidays)</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Capital &amp; Trade Resources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 xml:space="preserve"> </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PacifiCorp</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16"/>
          <w:vertAlign w:val="superscript"/>
        </w:rPr>
        <w:t>1</w:t>
      </w:r>
      <w:r>
        <w:rPr>
          <w:sz w:val="16"/>
        </w:rPr>
        <w:t xml:space="preserve"> Delivery Date necessary to identify NYMEX prompt month (or relevant date of delivery).</w:t>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/mnt/main-storage/datasets/enron-docs/doc/Confirm.199.doc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 xml:space="preserve">ISDAswap </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1999-08-05T18:44:00Z</dcterms:created>
  <dc:creator>wende warren</dc:creator>
  <dc:description/>
  <dc:language>en-CA</dc:language>
  <cp:lastModifiedBy>drasmus</cp:lastModifiedBy>
  <cp:lastPrinted>1999-08-05T14:15:00Z</cp:lastPrinted>
  <dcterms:modified xsi:type="dcterms:W3CDTF">1999-08-06T21:53:00Z</dcterms:modified>
  <cp:revision>4</cp:revision>
  <dc:subject/>
  <dc:title/>
</cp:coreProperties>
</file>