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2548" w:leader="none"/>
        </w:tabs>
        <w:jc w:val="both"/>
        <w:rPr>
          <w:sz w:val="28"/>
        </w:rPr>
      </w:pPr>
      <w:r>
        <w:rPr/>
        <w:tab/>
      </w:r>
    </w:p>
    <w:p>
      <w:pPr>
        <w:pStyle w:val="TxBrp1"/>
        <w:tabs>
          <w:tab w:val="left" w:pos="204" w:leader="none"/>
          <w:tab w:val="left" w:pos="1710" w:leader="none"/>
        </w:tabs>
        <w:spacing w:lineRule="auto" w:line="240"/>
        <w:rPr>
          <w:rFonts w:ascii="Arial" w:hAnsi="Arial" w:cs="Arial"/>
          <w:sz w:val="18"/>
        </w:rPr>
      </w:pPr>
      <w:r>
        <w:drawing>
          <wp:anchor behindDoc="1" distT="0" distB="0" distL="114935" distR="114935" simplePos="0" locked="0" layoutInCell="0" allowOverlap="1" relativeHeight="2">
            <wp:simplePos x="0" y="0"/>
            <wp:positionH relativeFrom="column">
              <wp:posOffset>-502920</wp:posOffset>
            </wp:positionH>
            <wp:positionV relativeFrom="paragraph">
              <wp:posOffset>-91440</wp:posOffset>
            </wp:positionV>
            <wp:extent cx="664845" cy="617220"/>
            <wp:effectExtent l="0" t="0" r="0" b="0"/>
            <wp:wrapTight wrapText="bothSides">
              <wp:wrapPolygon edited="0">
                <wp:start x="-308" y="0"/>
                <wp:lineTo x="-308" y="21266"/>
                <wp:lineTo x="21600" y="21266"/>
                <wp:lineTo x="21600" y="0"/>
                <wp:lineTo x="-308"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4" t="-59" r="-54" b="-59"/>
                    <a:stretch>
                      <a:fillRect/>
                    </a:stretch>
                  </pic:blipFill>
                  <pic:spPr bwMode="auto">
                    <a:xfrm>
                      <a:off x="0" y="0"/>
                      <a:ext cx="664845" cy="617220"/>
                    </a:xfrm>
                    <a:prstGeom prst="rect">
                      <a:avLst/>
                    </a:prstGeom>
                    <a:noFill/>
                  </pic:spPr>
                </pic:pic>
              </a:graphicData>
            </a:graphic>
          </wp:anchor>
        </w:drawing>
      </w:r>
      <w:r>
        <w:rPr>
          <w:rFonts w:cs="Arial" w:ascii="Arial" w:hAnsi="Arial"/>
          <w:sz w:val="18"/>
        </w:rPr>
        <w:t>Harvard Group International</w:t>
      </w:r>
    </w:p>
    <w:p>
      <w:pPr>
        <w:pStyle w:val="TxBrp1"/>
        <w:spacing w:lineRule="auto" w:line="240"/>
        <w:rPr>
          <w:rFonts w:ascii="Arial" w:hAnsi="Arial" w:cs="Arial"/>
          <w:sz w:val="18"/>
        </w:rPr>
      </w:pPr>
      <w:r>
        <w:rPr>
          <w:rFonts w:cs="Arial" w:ascii="Arial" w:hAnsi="Arial"/>
          <w:sz w:val="18"/>
        </w:rPr>
        <w:t>6000 Lake Forrest Drive</w:t>
      </w:r>
    </w:p>
    <w:p>
      <w:pPr>
        <w:pStyle w:val="TxBrp1"/>
        <w:spacing w:lineRule="auto" w:line="240"/>
        <w:rPr>
          <w:rFonts w:ascii="Arial" w:hAnsi="Arial" w:cs="Arial"/>
          <w:sz w:val="18"/>
        </w:rPr>
      </w:pPr>
      <w:r>
        <w:rPr>
          <w:rFonts w:cs="Arial" w:ascii="Arial" w:hAnsi="Arial"/>
          <w:sz w:val="18"/>
        </w:rPr>
        <w:t>Suite 400</w:t>
      </w:r>
    </w:p>
    <w:p>
      <w:pPr>
        <w:pStyle w:val="TxBrp1"/>
        <w:spacing w:lineRule="auto" w:line="240"/>
        <w:ind w:start="1440" w:end="0"/>
        <w:rPr>
          <w:rFonts w:ascii="Arial" w:hAnsi="Arial" w:cs="Arial"/>
          <w:sz w:val="18"/>
        </w:rPr>
      </w:pPr>
      <w:r>
        <w:rPr>
          <w:rFonts w:cs="Arial" w:ascii="Arial" w:hAnsi="Arial"/>
          <w:sz w:val="18"/>
        </w:rPr>
        <w:t>Atlanta, Georgia 30328</w:t>
      </w:r>
    </w:p>
    <w:p>
      <w:pPr>
        <w:pStyle w:val="TxBrp1"/>
        <w:spacing w:lineRule="auto" w:line="240"/>
        <w:rPr>
          <w:rFonts w:ascii="Arial" w:hAnsi="Arial" w:cs="Arial"/>
          <w:sz w:val="18"/>
        </w:rPr>
      </w:pPr>
      <w:r>
        <w:rPr>
          <w:rFonts w:eastAsia="Arial" w:cs="Arial" w:ascii="Arial" w:hAnsi="Arial"/>
          <w:sz w:val="18"/>
        </w:rPr>
        <w:t xml:space="preserve">                </w:t>
      </w:r>
      <w:r>
        <w:rPr>
          <w:rFonts w:cs="Arial" w:ascii="Arial" w:hAnsi="Arial"/>
          <w:sz w:val="18"/>
        </w:rPr>
        <w:t>404-459-9045</w:t>
      </w:r>
    </w:p>
    <w:p>
      <w:pPr>
        <w:pStyle w:val="TxBrp2"/>
        <w:spacing w:lineRule="auto" w:line="240"/>
        <w:ind w:hanging="397" w:end="0"/>
        <w:rPr>
          <w:rFonts w:ascii="Arial" w:hAnsi="Arial" w:cs="Arial"/>
          <w:sz w:val="18"/>
        </w:rPr>
      </w:pPr>
      <w:r>
        <w:rPr>
          <w:rFonts w:eastAsia="Arial" w:cs="Arial" w:ascii="Arial" w:hAnsi="Arial"/>
          <w:sz w:val="18"/>
        </w:rPr>
        <w:t xml:space="preserve">                </w:t>
      </w:r>
      <w:r>
        <w:rPr>
          <w:rFonts w:cs="Arial" w:ascii="Arial" w:hAnsi="Arial"/>
          <w:sz w:val="18"/>
        </w:rPr>
        <w:t>404-459-9044   fax</w:t>
      </w:r>
    </w:p>
    <w:p>
      <w:pPr>
        <w:pStyle w:val="Normal"/>
        <w:tabs>
          <w:tab w:val="clear" w:pos="720"/>
          <w:tab w:val="right" w:pos="2548" w:leader="none"/>
        </w:tabs>
        <w:jc w:val="both"/>
        <w:rPr/>
      </w:pPr>
      <w:r>
        <w:rPr>
          <w:rFonts w:cs="Arial" w:ascii="Arial" w:hAnsi="Arial"/>
          <w:b/>
          <w:sz w:val="28"/>
        </w:rPr>
        <w:tab/>
        <w:tab/>
        <w:tab/>
        <w:tab/>
        <w:tab/>
        <w:tab/>
        <w:t xml:space="preserve">          HARVARD </w:t>
      </w:r>
      <w:r>
        <w:rPr>
          <w:rFonts w:cs="Arial" w:ascii="Arial" w:hAnsi="Arial"/>
          <w:sz w:val="26"/>
        </w:rPr>
        <w:t>GROUP INTERNATIONAL</w:t>
      </w:r>
    </w:p>
    <w:p>
      <w:pPr>
        <w:pStyle w:val="Normal"/>
        <w:tabs>
          <w:tab w:val="clear" w:pos="720"/>
          <w:tab w:val="right" w:pos="2548" w:leader="none"/>
        </w:tabs>
        <w:jc w:val="both"/>
        <w:rPr>
          <w:sz w:val="22"/>
        </w:rPr>
      </w:pPr>
      <w:r>
        <w:rPr/>
        <w:tab/>
      </w:r>
    </w:p>
    <w:p>
      <w:pPr>
        <w:pStyle w:val="Heading"/>
        <w:rPr>
          <w:sz w:val="20"/>
        </w:rPr>
      </w:pPr>
      <w:r>
        <w:rPr>
          <w:rFonts w:cs="Times New Roman" w:ascii="Times New Roman" w:hAnsi="Times New Roman"/>
          <w:sz w:val="22"/>
        </w:rPr>
        <w:t>EXECUTIVE SEARCH CANDIDATE CONFIDENTIALITY AGREEMENT</w:t>
      </w:r>
    </w:p>
    <w:p>
      <w:pPr>
        <w:pStyle w:val="Heading"/>
        <w:rPr>
          <w:sz w:val="16"/>
        </w:rPr>
      </w:pPr>
      <w:r>
        <w:rPr>
          <w:sz w:val="16"/>
        </w:rPr>
      </w:r>
    </w:p>
    <w:p>
      <w:pPr>
        <w:pStyle w:val="BodyText"/>
        <w:spacing w:lineRule="auto" w:line="240"/>
        <w:rPr/>
      </w:pPr>
      <w:r>
        <w:rPr>
          <w:rFonts w:cs="Times New Roman" w:ascii="Times New Roman" w:hAnsi="Times New Roman"/>
        </w:rPr>
        <w:t>This Agreement made this 18</w:t>
      </w:r>
      <w:r>
        <w:rPr>
          <w:rFonts w:cs="Times New Roman" w:ascii="Times New Roman" w:hAnsi="Times New Roman"/>
          <w:vertAlign w:val="superscript"/>
        </w:rPr>
        <w:t>th</w:t>
      </w:r>
      <w:r>
        <w:rPr>
          <w:rFonts w:cs="Times New Roman" w:ascii="Times New Roman" w:hAnsi="Times New Roman"/>
        </w:rPr>
        <w:t xml:space="preserve"> of July by and between Jeffrey K. Skilling (''Candidate'') and Harvard Group International ("Agent").  This confidentiality agreement is initiated to allow confidential discussions concerning potential executive level and/or board level assignments (“Client”) with prospective Candidates.   </w:t>
      </w:r>
    </w:p>
    <w:p>
      <w:pPr>
        <w:pStyle w:val="Normal"/>
        <w:jc w:val="both"/>
        <w:rPr>
          <w:sz w:val="16"/>
        </w:rPr>
      </w:pPr>
      <w:r>
        <w:rPr>
          <w:sz w:val="16"/>
        </w:rPr>
        <w:t>___________________________________________________________________________________________________________________________________________</w:t>
      </w:r>
    </w:p>
    <w:p>
      <w:pPr>
        <w:pStyle w:val="BodyText"/>
        <w:tabs>
          <w:tab w:val="clear" w:pos="4005"/>
          <w:tab w:val="clear" w:pos="7708"/>
        </w:tabs>
        <w:spacing w:lineRule="auto" w:line="240"/>
        <w:rPr>
          <w:rFonts w:ascii="Times New Roman" w:hAnsi="Times New Roman" w:cs="Times New Roman"/>
        </w:rPr>
      </w:pPr>
      <w:r>
        <w:rPr>
          <w:rFonts w:cs="Times New Roman" w:ascii="Times New Roman" w:hAnsi="Times New Roman"/>
        </w:rPr>
        <w:t>Now therefore, premises considered, the parties hereby agree as follows:</w:t>
      </w:r>
    </w:p>
    <w:p>
      <w:pPr>
        <w:pStyle w:val="Normal"/>
        <w:tabs>
          <w:tab w:val="clear" w:pos="720"/>
          <w:tab w:val="right" w:pos="928" w:leader="none"/>
        </w:tabs>
        <w:jc w:val="both"/>
        <w:rPr>
          <w:u w:val="single"/>
        </w:rPr>
      </w:pPr>
      <w:r>
        <w:rPr>
          <w:u w:val="single"/>
        </w:rPr>
        <w:t>CONFIDENTIAL INFORMATION</w:t>
      </w:r>
    </w:p>
    <w:p>
      <w:pPr>
        <w:pStyle w:val="Normal"/>
        <w:tabs>
          <w:tab w:val="clear" w:pos="720"/>
          <w:tab w:val="right" w:pos="688" w:leader="none"/>
        </w:tabs>
        <w:jc w:val="both"/>
        <w:rPr>
          <w:sz w:val="16"/>
          <w:u w:val="single"/>
        </w:rPr>
      </w:pPr>
      <w:r>
        <w:rPr>
          <w:sz w:val="16"/>
          <w:u w:val="single"/>
        </w:rPr>
      </w:r>
    </w:p>
    <w:p>
      <w:pPr>
        <w:pStyle w:val="Normal"/>
        <w:numPr>
          <w:ilvl w:val="0"/>
          <w:numId w:val="2"/>
        </w:numPr>
        <w:tabs>
          <w:tab w:val="clear" w:pos="720"/>
          <w:tab w:val="left" w:pos="645" w:leader="none"/>
          <w:tab w:val="right" w:pos="8698" w:leader="none"/>
        </w:tabs>
        <w:jc w:val="both"/>
        <w:rPr/>
      </w:pPr>
      <w:r>
        <w:rPr/>
        <w:t>The term "Confidential Information" as used herein shall mean all proprietary information, which is disclosed to or discovered in connection with discussion of potential assignment, whether written or oral.  Proprietary information includes, but is not limited to name of Client’s company, financial, sales and marketing, product, manufacturing, management or other data and information integral to all parties operations, sales, and business success.</w:t>
      </w:r>
    </w:p>
    <w:p>
      <w:pPr>
        <w:pStyle w:val="Normal"/>
        <w:tabs>
          <w:tab w:val="clear" w:pos="720"/>
          <w:tab w:val="left" w:pos="645" w:leader="none"/>
          <w:tab w:val="right" w:pos="8698" w:leader="none"/>
        </w:tabs>
        <w:jc w:val="both"/>
        <w:rPr>
          <w:sz w:val="16"/>
        </w:rPr>
      </w:pPr>
      <w:r>
        <w:rPr>
          <w:sz w:val="16"/>
        </w:rPr>
      </w:r>
    </w:p>
    <w:p>
      <w:pPr>
        <w:pStyle w:val="Normal"/>
        <w:numPr>
          <w:ilvl w:val="0"/>
          <w:numId w:val="2"/>
        </w:numPr>
        <w:tabs>
          <w:tab w:val="clear" w:pos="720"/>
          <w:tab w:val="left" w:pos="645" w:leader="none"/>
          <w:tab w:val="right" w:pos="8698" w:leader="none"/>
        </w:tabs>
        <w:jc w:val="both"/>
        <w:rPr/>
      </w:pPr>
      <w:r>
        <w:rPr/>
        <w:t>Both parties recognize each other’s proprietary rights in and to the Confidential Information and agrees to take every necessary precaution to safeguard and treat it as confidential.  Both parties will take appropriate action by instruction, agreement or notice to protect the confidential and proprietary nature of the other parties Confidential Information.  At all times, the Confidential Information shall be handled with the same standard of confidentiality accorded the most sensitive and confidential documents.</w:t>
      </w:r>
    </w:p>
    <w:p>
      <w:pPr>
        <w:pStyle w:val="Normal"/>
        <w:tabs>
          <w:tab w:val="clear" w:pos="720"/>
          <w:tab w:val="left" w:pos="645" w:leader="none"/>
          <w:tab w:val="right" w:pos="8698" w:leader="none"/>
        </w:tabs>
        <w:jc w:val="both"/>
        <w:rPr>
          <w:sz w:val="16"/>
        </w:rPr>
      </w:pPr>
      <w:r>
        <w:rPr>
          <w:sz w:val="16"/>
        </w:rPr>
      </w:r>
    </w:p>
    <w:p>
      <w:pPr>
        <w:pStyle w:val="Normal"/>
        <w:numPr>
          <w:ilvl w:val="0"/>
          <w:numId w:val="2"/>
        </w:numPr>
        <w:tabs>
          <w:tab w:val="clear" w:pos="720"/>
          <w:tab w:val="left" w:pos="645" w:leader="none"/>
          <w:tab w:val="right" w:pos="8683" w:leader="none"/>
        </w:tabs>
        <w:jc w:val="both"/>
        <w:rPr/>
      </w:pPr>
      <w:r>
        <w:rPr/>
        <w:t>Both parties agree that they will not make use of, either directly or indirectly, any of the Confidential Information, other than for the purpose for which it has been disclosed, except with the specific prior written authorization of the other parties.</w:t>
      </w:r>
    </w:p>
    <w:p>
      <w:pPr>
        <w:pStyle w:val="Normal"/>
        <w:numPr>
          <w:ilvl w:val="0"/>
          <w:numId w:val="0"/>
        </w:numPr>
        <w:tabs>
          <w:tab w:val="clear" w:pos="720"/>
          <w:tab w:val="left" w:pos="660" w:leader="none"/>
        </w:tabs>
        <w:ind w:hanging="0" w:start="0"/>
        <w:jc w:val="both"/>
        <w:rPr>
          <w:sz w:val="16"/>
        </w:rPr>
      </w:pPr>
      <w:r>
        <w:rPr>
          <w:sz w:val="16"/>
        </w:rPr>
      </w:r>
    </w:p>
    <w:p>
      <w:pPr>
        <w:pStyle w:val="Normal"/>
        <w:numPr>
          <w:ilvl w:val="0"/>
          <w:numId w:val="2"/>
        </w:numPr>
        <w:tabs>
          <w:tab w:val="clear" w:pos="720"/>
          <w:tab w:val="left" w:pos="645" w:leader="none"/>
        </w:tabs>
        <w:jc w:val="both"/>
        <w:rPr/>
      </w:pPr>
      <w:r>
        <w:rPr/>
        <w:t>Both parties agree not to disclose, publish or otherwise reveal any of the Confidential Information to any other party, or otherwise only with the specific prior written authorization of the other party.</w:t>
      </w:r>
    </w:p>
    <w:p>
      <w:pPr>
        <w:pStyle w:val="Normal"/>
        <w:numPr>
          <w:ilvl w:val="0"/>
          <w:numId w:val="0"/>
        </w:numPr>
        <w:ind w:hanging="0" w:start="0"/>
        <w:jc w:val="both"/>
        <w:rPr>
          <w:sz w:val="16"/>
        </w:rPr>
      </w:pPr>
      <w:r>
        <w:rPr>
          <w:sz w:val="16"/>
        </w:rPr>
      </w:r>
    </w:p>
    <w:p>
      <w:pPr>
        <w:pStyle w:val="Normal"/>
        <w:numPr>
          <w:ilvl w:val="0"/>
          <w:numId w:val="2"/>
        </w:numPr>
        <w:tabs>
          <w:tab w:val="clear" w:pos="720"/>
          <w:tab w:val="left" w:pos="645" w:leader="none"/>
        </w:tabs>
        <w:jc w:val="both"/>
        <w:rPr/>
      </w:pPr>
      <w:r>
        <w:rPr/>
        <w:t>The above restriction will not apply to any information which (a) is rightfully known to or in the rightful possession of either party as of the date of its disclosure, (b) is generally distributed, or made available to others, or (c) lawfully becomes known or available from third parties who are not under a similar obligation directly or indirectly regarding disclosure of the Confidential Information.</w:t>
      </w:r>
    </w:p>
    <w:p>
      <w:pPr>
        <w:pStyle w:val="Normal"/>
        <w:numPr>
          <w:ilvl w:val="0"/>
          <w:numId w:val="0"/>
        </w:numPr>
        <w:ind w:hanging="0" w:start="0"/>
        <w:jc w:val="both"/>
        <w:rPr>
          <w:sz w:val="16"/>
        </w:rPr>
      </w:pPr>
      <w:r>
        <w:rPr>
          <w:sz w:val="16"/>
        </w:rPr>
      </w:r>
    </w:p>
    <w:p>
      <w:pPr>
        <w:pStyle w:val="Normal"/>
        <w:numPr>
          <w:ilvl w:val="0"/>
          <w:numId w:val="2"/>
        </w:numPr>
        <w:tabs>
          <w:tab w:val="clear" w:pos="720"/>
          <w:tab w:val="left" w:pos="645" w:leader="none"/>
        </w:tabs>
        <w:jc w:val="both"/>
        <w:rPr/>
      </w:pPr>
      <w:r>
        <w:rPr/>
        <w:t>All Confidential Information provided in tangible form and any copies shall be returned on request.</w:t>
      </w:r>
    </w:p>
    <w:p>
      <w:pPr>
        <w:pStyle w:val="Normal"/>
        <w:numPr>
          <w:ilvl w:val="0"/>
          <w:numId w:val="0"/>
        </w:numPr>
        <w:ind w:hanging="0" w:start="0"/>
        <w:jc w:val="both"/>
        <w:rPr>
          <w:sz w:val="16"/>
        </w:rPr>
      </w:pPr>
      <w:r>
        <w:rPr>
          <w:sz w:val="16"/>
        </w:rPr>
      </w:r>
    </w:p>
    <w:p>
      <w:pPr>
        <w:pStyle w:val="Normal"/>
        <w:numPr>
          <w:ilvl w:val="0"/>
          <w:numId w:val="2"/>
        </w:numPr>
        <w:tabs>
          <w:tab w:val="clear" w:pos="720"/>
          <w:tab w:val="left" w:pos="660" w:leader="none"/>
          <w:tab w:val="right" w:pos="8717" w:leader="none"/>
        </w:tabs>
        <w:jc w:val="both"/>
        <w:rPr/>
      </w:pPr>
      <w:r>
        <w:rPr/>
        <w:t>Both parties agree that its breach of the promises set forth herein could cause irreparable damage and that in the event of such breach the affected party shall have, in addition to any and all remedies of law, the right to an injunction, specific performance or other equitable relief to prevent the violation of the aforementioned promises.  Both parties further agree that in any action resulting from its breach of this Agreement, the affected party may recover, in addition to its damages, the expenses of such action, including attorney's fees.</w:t>
      </w:r>
    </w:p>
    <w:p>
      <w:pPr>
        <w:pStyle w:val="Normal"/>
        <w:tabs>
          <w:tab w:val="clear" w:pos="720"/>
          <w:tab w:val="left" w:pos="660" w:leader="none"/>
          <w:tab w:val="right" w:pos="8717" w:leader="none"/>
        </w:tabs>
        <w:jc w:val="both"/>
        <w:rPr>
          <w:sz w:val="16"/>
        </w:rPr>
      </w:pPr>
      <w:r>
        <w:rPr>
          <w:sz w:val="16"/>
        </w:rPr>
      </w:r>
    </w:p>
    <w:p>
      <w:pPr>
        <w:pStyle w:val="Normal"/>
        <w:jc w:val="both"/>
        <w:rPr/>
      </w:pPr>
      <w:r>
        <w:rPr/>
        <w:t>ACCEPTED AND AGREED TO:</w:t>
      </w:r>
    </w:p>
    <w:p>
      <w:pPr>
        <w:pStyle w:val="Normal"/>
        <w:jc w:val="both"/>
        <w:rPr>
          <w:sz w:val="16"/>
        </w:rPr>
      </w:pPr>
      <w:r>
        <w:rPr>
          <w:sz w:val="16"/>
        </w:rPr>
      </w:r>
    </w:p>
    <w:p>
      <w:pPr>
        <w:pStyle w:val="Normal"/>
        <w:tabs>
          <w:tab w:val="clear" w:pos="720"/>
          <w:tab w:val="right" w:pos="707" w:leader="none"/>
        </w:tabs>
        <w:jc w:val="both"/>
        <w:rPr>
          <w:sz w:val="20"/>
        </w:rPr>
      </w:pPr>
      <w:r>
        <mc:AlternateContent>
          <mc:Choice Requires="wps">
            <w:drawing>
              <wp:anchor behindDoc="0" distT="0" distB="0" distL="114935" distR="114935" simplePos="0" locked="0" layoutInCell="1" allowOverlap="1" relativeHeight="3">
                <wp:simplePos x="0" y="0"/>
                <wp:positionH relativeFrom="column">
                  <wp:posOffset>3063240</wp:posOffset>
                </wp:positionH>
                <wp:positionV relativeFrom="paragraph">
                  <wp:posOffset>267970</wp:posOffset>
                </wp:positionV>
                <wp:extent cx="2011680" cy="0"/>
                <wp:effectExtent l="0" t="5080" r="0" b="5080"/>
                <wp:wrapNone/>
                <wp:docPr id="2"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1.2pt,21.1pt" to="399.55pt,21.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320040</wp:posOffset>
                </wp:positionH>
                <wp:positionV relativeFrom="paragraph">
                  <wp:posOffset>267970</wp:posOffset>
                </wp:positionV>
                <wp:extent cx="2011680" cy="0"/>
                <wp:effectExtent l="0" t="5080" r="0" b="5080"/>
                <wp:wrapNone/>
                <wp:docPr id="3"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21.1pt" to="183.55pt,21.1pt" stroked="t" o:allowincell="f" style="position:absolute">
                <v:stroke color="black" weight="9360" joinstyle="miter" endcap="flat"/>
                <v:fill o:detectmouseclick="t" on="false"/>
                <w10:wrap type="none"/>
              </v:line>
            </w:pict>
          </mc:Fallback>
        </mc:AlternateContent>
      </w:r>
      <w:r>
        <w:rPr/>
        <w:t>By:</w:t>
        <w:tab/>
        <w:tab/>
        <w:tab/>
        <w:tab/>
        <w:tab/>
        <w:tab/>
        <w:tab/>
        <w:t xml:space="preserve">By: </w:t>
        <w:tab/>
        <w:tab/>
        <w:t>John Donaldson</w:t>
      </w:r>
    </w:p>
    <w:p>
      <w:pPr>
        <w:pStyle w:val="Normal"/>
        <w:tabs>
          <w:tab w:val="clear" w:pos="720"/>
          <w:tab w:val="right" w:pos="707" w:leader="none"/>
        </w:tabs>
        <w:jc w:val="both"/>
        <w:rPr>
          <w:sz w:val="20"/>
        </w:rPr>
      </w:pPr>
      <w:r>
        <w:rPr>
          <w:sz w:val="20"/>
        </w:rPr>
      </w:r>
    </w:p>
    <w:p>
      <w:pPr>
        <w:pStyle w:val="Normal"/>
        <w:tabs>
          <w:tab w:val="clear" w:pos="720"/>
          <w:tab w:val="right" w:pos="707" w:leader="none"/>
        </w:tabs>
        <w:jc w:val="both"/>
        <w:rPr/>
      </w:pPr>
      <w:r>
        <w:rPr/>
        <w:t xml:space="preserve">Date: </w:t>
        <w:tab/>
        <w:tab/>
        <w:tab/>
        <w:tab/>
        <w:tab/>
        <w:tab/>
        <w:tab/>
        <w:t xml:space="preserve">Date: </w:t>
        <w:tab/>
        <w:tab/>
        <w:t>July 18, 2001</w:t>
        <w:tab/>
        <w:tab/>
        <w:tab/>
        <w:tab/>
      </w:r>
    </w:p>
    <w:p>
      <w:pPr>
        <w:pStyle w:val="Normal"/>
        <w:tabs>
          <w:tab w:val="clear" w:pos="720"/>
          <w:tab w:val="right" w:pos="707" w:leader="none"/>
        </w:tabs>
        <w:jc w:val="both"/>
        <w:rPr>
          <w:sz w:val="16"/>
        </w:rPr>
      </w:pPr>
      <w:r>
        <mc:AlternateContent>
          <mc:Choice Requires="wps">
            <w:drawing>
              <wp:anchor behindDoc="0" distT="0" distB="0" distL="114935" distR="114935" simplePos="0" locked="0" layoutInCell="1" allowOverlap="1" relativeHeight="7">
                <wp:simplePos x="0" y="0"/>
                <wp:positionH relativeFrom="column">
                  <wp:posOffset>462915</wp:posOffset>
                </wp:positionH>
                <wp:positionV relativeFrom="paragraph">
                  <wp:posOffset>29210</wp:posOffset>
                </wp:positionV>
                <wp:extent cx="1828800" cy="0"/>
                <wp:effectExtent l="0" t="5080" r="0" b="5080"/>
                <wp:wrapNone/>
                <wp:docPr id="4"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45pt,2.3pt" to="180.4pt,2.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3206115</wp:posOffset>
                </wp:positionH>
                <wp:positionV relativeFrom="paragraph">
                  <wp:posOffset>29210</wp:posOffset>
                </wp:positionV>
                <wp:extent cx="1828800" cy="0"/>
                <wp:effectExtent l="0" t="5080" r="0" b="5080"/>
                <wp:wrapNone/>
                <wp:docPr id="5"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45pt,2.3pt" to="396.4pt,2.3pt" stroked="t" o:allowincell="f" style="position:absolute">
                <v:stroke color="black" weight="9360" joinstyle="miter" endcap="flat"/>
                <v:fill o:detectmouseclick="t" on="false"/>
                <w10:wrap type="none"/>
              </v:line>
            </w:pict>
          </mc:Fallback>
        </mc:AlternateContent>
      </w:r>
      <w:r>
        <w:rPr>
          <w:sz w:val="16"/>
        </w:rPr>
        <w:tab/>
        <w:tab/>
      </w:r>
    </w:p>
    <w:p>
      <w:pPr>
        <w:pStyle w:val="Normal"/>
        <w:tabs>
          <w:tab w:val="clear" w:pos="720"/>
          <w:tab w:val="right" w:pos="587" w:leader="none"/>
        </w:tabs>
        <w:jc w:val="both"/>
        <w:rPr/>
      </w:pPr>
      <w:r>
        <mc:AlternateContent>
          <mc:Choice Requires="wps">
            <w:drawing>
              <wp:anchor behindDoc="0" distT="0" distB="0" distL="114935" distR="114935" simplePos="0" locked="0" layoutInCell="1" allowOverlap="1" relativeHeight="5">
                <wp:simplePos x="0" y="0"/>
                <wp:positionH relativeFrom="column">
                  <wp:posOffset>411480</wp:posOffset>
                </wp:positionH>
                <wp:positionV relativeFrom="paragraph">
                  <wp:posOffset>167640</wp:posOffset>
                </wp:positionV>
                <wp:extent cx="2011680" cy="0"/>
                <wp:effectExtent l="0" t="5080" r="0" b="5080"/>
                <wp:wrapNone/>
                <wp:docPr id="6"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13.2pt" to="190.75pt,1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3154680</wp:posOffset>
                </wp:positionH>
                <wp:positionV relativeFrom="paragraph">
                  <wp:posOffset>167640</wp:posOffset>
                </wp:positionV>
                <wp:extent cx="2011680" cy="0"/>
                <wp:effectExtent l="0" t="5080" r="0" b="5080"/>
                <wp:wrapNone/>
                <wp:docPr id="7"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8.4pt,13.2pt" to="406.75pt,13.2pt" stroked="t" o:allowincell="f" style="position:absolute">
                <v:stroke color="black" weight="9360" joinstyle="miter" endcap="flat"/>
                <v:fill o:detectmouseclick="t" on="false"/>
                <w10:wrap type="none"/>
              </v:line>
            </w:pict>
          </mc:Fallback>
        </mc:AlternateContent>
      </w:r>
      <w:r>
        <w:rPr/>
        <w:t>Title:</w:t>
        <w:tab/>
        <w:tab/>
        <w:tab/>
        <w:tab/>
        <w:tab/>
        <w:tab/>
        <w:tab/>
        <w:t xml:space="preserve">Title: </w:t>
        <w:tab/>
        <w:t xml:space="preserve"> </w:t>
        <w:tab/>
        <w:t>Senior  Partner</w:t>
      </w:r>
    </w:p>
    <w:sectPr>
      <w:type w:val="nextPage"/>
      <w:pgSz w:w="12240" w:h="15840"/>
      <w:pgMar w:left="432" w:right="432" w:gutter="0" w:header="0" w:top="270" w:footer="0" w:bottom="2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45"/>
        </w:tabs>
        <w:ind w:start="645" w:hanging="645"/>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3733" w:leader="none"/>
      </w:tabs>
      <w:jc w:val="center"/>
      <w:outlineLvl w:val="0"/>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right" w:pos="2548" w:leader="none"/>
      </w:tabs>
      <w:jc w:val="center"/>
    </w:pPr>
    <w:rPr>
      <w:rFonts w:ascii="Arial" w:hAnsi="Arial" w:cs="Arial"/>
      <w:b/>
      <w:sz w:val="32"/>
    </w:rPr>
  </w:style>
  <w:style w:type="paragraph" w:styleId="BodyText">
    <w:name w:val="Body Text"/>
    <w:basedOn w:val="Normal"/>
    <w:pPr>
      <w:tabs>
        <w:tab w:val="clear" w:pos="720"/>
        <w:tab w:val="left" w:pos="4005" w:leader="none"/>
        <w:tab w:val="right" w:pos="7708" w:leader="none"/>
      </w:tabs>
      <w:spacing w:lineRule="auto" w:line="480"/>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xBrp1">
    <w:name w:val="TxBr_p1"/>
    <w:basedOn w:val="Normal"/>
    <w:qFormat/>
    <w:pPr>
      <w:tabs>
        <w:tab w:val="clear" w:pos="720"/>
        <w:tab w:val="left" w:pos="204" w:leader="none"/>
      </w:tabs>
      <w:spacing w:lineRule="atLeast" w:line="240"/>
    </w:pPr>
    <w:rPr/>
  </w:style>
  <w:style w:type="paragraph" w:styleId="TxBrp2">
    <w:name w:val="TxBr_p2"/>
    <w:basedOn w:val="Normal"/>
    <w:qFormat/>
    <w:pPr>
      <w:tabs>
        <w:tab w:val="clear" w:pos="720"/>
        <w:tab w:val="left" w:pos="1043" w:leader="none"/>
      </w:tabs>
      <w:spacing w:lineRule="atLeast" w:line="240"/>
      <w:ind w:hanging="1043" w:start="397"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2001-07-18T16:16:00Z</dcterms:created>
  <dc:creator>H. L. Goodman</dc:creator>
  <dc:description/>
  <dc:language>en-CA</dc:language>
  <cp:lastModifiedBy>John Donaldson</cp:lastModifiedBy>
  <cp:lastPrinted>2001-07-18T14:46:00Z</cp:lastPrinted>
  <dcterms:modified xsi:type="dcterms:W3CDTF">2001-07-18T16:16:00Z</dcterms:modified>
  <cp:revision>2</cp:revision>
  <dc:subject/>
  <dc:title>CONFIDENTIAL AGREEMENT</dc:title>
</cp:coreProperties>
</file>