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r>
    </w:p>
    <w:p>
      <w:pPr>
        <w:pStyle w:val="Normal"/>
        <w:rPr>
          <w:sz w:val="22"/>
        </w:rPr>
      </w:pPr>
      <w:r>
        <w:rPr>
          <w:sz w:val="22"/>
        </w:rPr>
      </w:r>
    </w:p>
    <w:p>
      <w:pPr>
        <w:pStyle w:val="Normal"/>
        <w:rPr>
          <w:sz w:val="22"/>
        </w:rPr>
      </w:pPr>
      <w:r>
        <w:rPr>
          <w:sz w:val="22"/>
        </w:rPr>
      </w:r>
    </w:p>
    <w:p>
      <w:pPr>
        <w:pStyle w:val="Normal"/>
        <w:jc w:val="center"/>
        <w:rPr>
          <w:sz w:val="22"/>
        </w:rPr>
      </w:pPr>
      <w:r>
        <w:rPr>
          <w:sz w:val="22"/>
        </w:rPr>
        <w:t>November 14, 2000</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Enron North America Corp.</w:t>
      </w:r>
    </w:p>
    <w:p>
      <w:pPr>
        <w:pStyle w:val="Normal"/>
        <w:jc w:val="both"/>
        <w:rPr>
          <w:sz w:val="22"/>
        </w:rPr>
      </w:pPr>
      <w:r>
        <w:rPr>
          <w:sz w:val="22"/>
        </w:rPr>
        <w:t>1400 Smith Street</w:t>
      </w:r>
    </w:p>
    <w:p>
      <w:pPr>
        <w:pStyle w:val="Normal"/>
        <w:jc w:val="both"/>
        <w:rPr>
          <w:sz w:val="22"/>
        </w:rPr>
      </w:pPr>
      <w:r>
        <w:rPr>
          <w:sz w:val="22"/>
        </w:rPr>
        <w:t>Houston, Texas 77002</w:t>
      </w:r>
    </w:p>
    <w:p>
      <w:pPr>
        <w:pStyle w:val="Normal"/>
        <w:jc w:val="both"/>
        <w:rPr>
          <w:sz w:val="22"/>
        </w:rPr>
      </w:pPr>
      <w:r>
        <w:rPr>
          <w:sz w:val="22"/>
        </w:rPr>
      </w:r>
    </w:p>
    <w:p>
      <w:pPr>
        <w:pStyle w:val="Normal"/>
        <w:jc w:val="both"/>
        <w:rPr>
          <w:sz w:val="22"/>
        </w:rPr>
      </w:pPr>
      <w:r>
        <w:rPr>
          <w:sz w:val="22"/>
        </w:rPr>
        <w:t>Attn.:</w:t>
        <w:tab/>
        <w:t>Mr. Kenneth Loch</w:t>
      </w:r>
    </w:p>
    <w:p>
      <w:pPr>
        <w:pStyle w:val="Normal"/>
        <w:jc w:val="both"/>
        <w:rPr>
          <w:sz w:val="22"/>
        </w:rPr>
      </w:pPr>
      <w:r>
        <w:rPr>
          <w:sz w:val="22"/>
        </w:rPr>
      </w:r>
    </w:p>
    <w:p>
      <w:pPr>
        <w:pStyle w:val="Normal"/>
        <w:jc w:val="both"/>
        <w:rPr>
          <w:b/>
          <w:sz w:val="22"/>
        </w:rPr>
      </w:pPr>
      <w:r>
        <w:rPr>
          <w:b/>
          <w:sz w:val="22"/>
        </w:rPr>
        <w:t>RE:</w:t>
        <w:tab/>
        <w:t>Amendment to Confidentiality Agreement</w:t>
      </w:r>
    </w:p>
    <w:p>
      <w:pPr>
        <w:pStyle w:val="Normal"/>
        <w:jc w:val="both"/>
        <w:rPr>
          <w:b/>
          <w:sz w:val="22"/>
        </w:rPr>
      </w:pPr>
      <w:r>
        <w:rPr>
          <w:b/>
          <w:sz w:val="22"/>
        </w:rPr>
        <w:tab/>
        <w:t>Expression of Interest Package</w:t>
      </w:r>
    </w:p>
    <w:p>
      <w:pPr>
        <w:pStyle w:val="Normal"/>
        <w:jc w:val="both"/>
        <w:rPr>
          <w:b/>
          <w:sz w:val="22"/>
        </w:rPr>
      </w:pPr>
      <w:r>
        <w:rPr>
          <w:b/>
          <w:sz w:val="22"/>
        </w:rPr>
        <w:tab/>
        <w:t>Devil's Tower Prospect</w:t>
      </w:r>
    </w:p>
    <w:p>
      <w:pPr>
        <w:pStyle w:val="Normal"/>
        <w:jc w:val="both"/>
        <w:rPr>
          <w:b/>
          <w:sz w:val="22"/>
        </w:rPr>
      </w:pPr>
      <w:r>
        <w:rPr>
          <w:b/>
          <w:sz w:val="22"/>
        </w:rPr>
        <w:tab/>
        <w:t>Mississippi Canyon Area, Block 773</w:t>
      </w:r>
    </w:p>
    <w:p>
      <w:pPr>
        <w:pStyle w:val="Normal"/>
        <w:jc w:val="both"/>
        <w:rPr>
          <w:sz w:val="22"/>
        </w:rPr>
      </w:pPr>
      <w:r>
        <w:rPr>
          <w:b/>
          <w:sz w:val="22"/>
        </w:rPr>
        <w:tab/>
      </w:r>
      <w:r>
        <w:rPr>
          <w:b/>
          <w:sz w:val="22"/>
          <w:u w:val="single"/>
        </w:rPr>
        <w:t>Offshore, Louisiana</w:t>
      </w:r>
    </w:p>
    <w:p>
      <w:pPr>
        <w:pStyle w:val="Normal"/>
        <w:jc w:val="both"/>
        <w:rPr>
          <w:sz w:val="22"/>
        </w:rPr>
      </w:pPr>
      <w:r>
        <w:rPr>
          <w:sz w:val="22"/>
        </w:rPr>
      </w:r>
    </w:p>
    <w:p>
      <w:pPr>
        <w:pStyle w:val="Normal"/>
        <w:jc w:val="both"/>
        <w:rPr>
          <w:sz w:val="22"/>
        </w:rPr>
      </w:pPr>
      <w:r>
        <w:rPr>
          <w:sz w:val="22"/>
        </w:rPr>
        <w:t>Gentlemen:</w:t>
      </w:r>
    </w:p>
    <w:p>
      <w:pPr>
        <w:pStyle w:val="Normal"/>
        <w:jc w:val="both"/>
        <w:rPr>
          <w:sz w:val="22"/>
        </w:rPr>
      </w:pPr>
      <w:r>
        <w:rPr>
          <w:sz w:val="22"/>
        </w:rPr>
      </w:r>
    </w:p>
    <w:p>
      <w:pPr>
        <w:pStyle w:val="BodyText"/>
        <w:rPr/>
      </w:pPr>
      <w:r>
        <w:rPr/>
        <w:t>Pursuant to Enron North America Corp's (“Recipient”) participation in the above captioned Expression of Interest Package and subsequent execution of the requisite Confidentiality Agreement, Dominion Exploration &amp; Production, Inc. (“Dominion”) will provide additional data in support of the continued evaluation of this prospect, and as such, will require additional protection for supplying said data.  In addition to the block covered by the original Confidentiality Agreement, being Mississippi Canyon Area, Block 773, OCS-G, the adjacent block, Mississippi Canyon Area, Block 772, shall also be included under the terms of the Confidentiality Agreement.  To that end, the Confidentiality Agreement will be amended to include the following provision:</w:t>
      </w:r>
    </w:p>
    <w:p>
      <w:pPr>
        <w:pStyle w:val="Normal"/>
        <w:jc w:val="both"/>
        <w:rPr>
          <w:sz w:val="22"/>
        </w:rPr>
      </w:pPr>
      <w:r>
        <w:rPr>
          <w:sz w:val="22"/>
        </w:rPr>
      </w:r>
    </w:p>
    <w:p>
      <w:pPr>
        <w:pStyle w:val="Heading2"/>
        <w:widowControl w:val="false"/>
        <w:ind w:hanging="0" w:start="720" w:end="720"/>
        <w:rPr>
          <w:rFonts w:ascii="Times New Roman" w:hAnsi="Times New Roman" w:cs="Times New Roman"/>
          <w:sz w:val="22"/>
        </w:rPr>
      </w:pPr>
      <w:r>
        <w:rPr>
          <w:rFonts w:cs="Times New Roman" w:ascii="Times New Roman" w:hAnsi="Times New Roman"/>
          <w:sz w:val="22"/>
        </w:rPr>
        <w:t>In consideration of Dominion’s disclosure of Confidential Data to Recipient (the term Recipient shall include for the purposes of this AMI provision, any Affiliates (other than Mariner Energy, Inc. or any of its subsidiaries) that have reviewed the Confidential Data), the Parties agree to establish an “Area of Mutual Interest” (hereinafter referred to as the “AMI”) covering the Leases(s) or the OCS Block(s) described on Exhibit “B”.  The AMI shall commence upon the Effective Date of this Confidentiality Agreement and shall remain in effect for two (2) years from the Effective Date.  The Recipient represents, as of the Effective Date of this Confidentiality Agreement, that it is not subject to an existing agreement which would require it to offer any portion of an acquisition within the AMI area to a third party.</w:t>
      </w:r>
    </w:p>
    <w:p>
      <w:pPr>
        <w:pStyle w:val="Heading2"/>
        <w:widowControl w:val="false"/>
        <w:ind w:hanging="0" w:start="720" w:end="720"/>
        <w:rPr>
          <w:rFonts w:ascii="Times New Roman" w:hAnsi="Times New Roman" w:cs="Times New Roman"/>
          <w:sz w:val="22"/>
        </w:rPr>
      </w:pPr>
      <w:r>
        <w:rPr>
          <w:rFonts w:cs="Times New Roman" w:ascii="Times New Roman" w:hAnsi="Times New Roman"/>
          <w:sz w:val="22"/>
        </w:rPr>
        <w:t>The Parties agree that during the term of the AMI, should Recipient acquire or otherwise receive a leasehold interest in Mississippi Canyon Area, Block 772, OCS-G (a “Block 772 Leasehold Interest”), Dominion shall have the right, but not the obligation, to acquire from the Recipient, an undivided one hundred percent (100%) of the interest acquired by the Recipient.  The Recipient shall, within thirty (30) days after the date of the acquisition, give written notice to Dominion of all the terms, conditions and considerations of the Recipient’s acquisition including a copy of the accepted offer document or the relevant portions thereof, if the offer document covers other non-AMI properties.  In the event any of the consideration granted is a service, property or some type of non-monetary item, which cannot be assumed or granted by Dominion, then Recipient and Dominion shall mutually agree on assigning an equivalent monetary value to such consideration prior to Recipient sending notice of the acquisition to Dominion.  Dominion shall have thirty (30) days after receipt of such notice in which to make one of the following elections:</w:t>
      </w:r>
    </w:p>
    <w:p>
      <w:pPr>
        <w:pStyle w:val="Heading2"/>
        <w:widowControl w:val="false"/>
        <w:numPr>
          <w:ilvl w:val="0"/>
          <w:numId w:val="2"/>
        </w:numPr>
        <w:ind w:hanging="360" w:start="1080" w:end="720"/>
        <w:rPr>
          <w:rFonts w:ascii="Times New Roman" w:hAnsi="Times New Roman" w:cs="Times New Roman"/>
          <w:sz w:val="22"/>
        </w:rPr>
      </w:pPr>
      <w:r>
        <w:rPr>
          <w:rFonts w:cs="Times New Roman" w:ascii="Times New Roman" w:hAnsi="Times New Roman"/>
          <w:sz w:val="22"/>
        </w:rPr>
        <w:t xml:space="preserve">To acquire its above-noted share of the interest; or </w:t>
      </w:r>
    </w:p>
    <w:p>
      <w:pPr>
        <w:pStyle w:val="Heading2"/>
        <w:widowControl w:val="false"/>
        <w:numPr>
          <w:ilvl w:val="0"/>
          <w:numId w:val="2"/>
        </w:numPr>
        <w:ind w:hanging="360" w:start="1080" w:end="720"/>
        <w:rPr>
          <w:rFonts w:ascii="Times New Roman" w:hAnsi="Times New Roman" w:cs="Times New Roman"/>
          <w:sz w:val="22"/>
        </w:rPr>
      </w:pPr>
      <w:r>
        <w:rPr>
          <w:rFonts w:cs="Times New Roman" w:ascii="Times New Roman" w:hAnsi="Times New Roman"/>
          <w:sz w:val="22"/>
        </w:rPr>
        <w:t>Not to acquire its above-noted share of the interest.</w:t>
      </w:r>
    </w:p>
    <w:p>
      <w:pPr>
        <w:pStyle w:val="Heading2"/>
        <w:widowControl w:val="false"/>
        <w:ind w:hanging="0" w:start="720" w:end="720"/>
        <w:rPr>
          <w:rFonts w:ascii="Times New Roman" w:hAnsi="Times New Roman" w:cs="Times New Roman"/>
          <w:sz w:val="22"/>
        </w:rPr>
      </w:pPr>
      <w:r>
        <w:rPr>
          <w:rFonts w:cs="Times New Roman" w:ascii="Times New Roman" w:hAnsi="Times New Roman"/>
          <w:sz w:val="22"/>
        </w:rPr>
        <w:t>If Dominion fails to make either one of the foregoing elections within the thirty (30) day period, Dominion will be deemed to have made election (b).  If Dominion elects to acquire its interest, it will pay the Recipient the amount that the Recipient paid to acquire the 772 Leasehold Interest and will assume any costs and obligations attributable to such interest.  This AMI provision is subject to the following additional terms and conditions:  (a) it is not reciprocal and shall not apply to Dominion if it should independently acquire the Block 772 Leasehold Interest, in which event it may freely and without restriction dispose of same without obligation to Recipient and (b) this AMI provision applies only to Recipient’s direct acquisition of a leasehold interest in Block 772, and will in no way affect or prohibit Recipient from entering into any contractual, fiduciary or other relationship with the owner of a leasehold, working, royalty or other ownership interest in Block 772.</w:t>
      </w:r>
    </w:p>
    <w:p>
      <w:pPr>
        <w:pStyle w:val="Normal"/>
        <w:jc w:val="both"/>
        <w:rPr>
          <w:rFonts w:ascii="Times New Roman" w:hAnsi="Times New Roman" w:cs="Times New Roman"/>
          <w:sz w:val="22"/>
        </w:rPr>
      </w:pPr>
      <w:r>
        <w:rPr>
          <w:rFonts w:cs="Times New Roman"/>
          <w:sz w:val="22"/>
        </w:rPr>
      </w:r>
    </w:p>
    <w:p>
      <w:pPr>
        <w:pStyle w:val="Normal"/>
        <w:jc w:val="both"/>
        <w:rPr>
          <w:sz w:val="22"/>
        </w:rPr>
      </w:pPr>
      <w:r>
        <w:rPr>
          <w:sz w:val="22"/>
        </w:rPr>
        <w:t>Please evidence Recipient’s agreement with and acceptance of this amendment to the Confidentiality Agreement by executing both copies of this letter in the space provided below and returning one copy to the undersigned.  If you have any questions, please contact Rick Fowler at (504) 593-7308.</w:t>
      </w:r>
    </w:p>
    <w:p>
      <w:pPr>
        <w:pStyle w:val="Normal"/>
        <w:jc w:val="both"/>
        <w:rPr>
          <w:sz w:val="22"/>
        </w:rPr>
      </w:pPr>
      <w:r>
        <w:rPr>
          <w:sz w:val="22"/>
        </w:rPr>
      </w:r>
    </w:p>
    <w:p>
      <w:pPr>
        <w:pStyle w:val="Normal"/>
        <w:jc w:val="both"/>
        <w:rPr>
          <w:sz w:val="22"/>
        </w:rPr>
      </w:pPr>
      <w:r>
        <w:rPr>
          <w:sz w:val="22"/>
        </w:rPr>
        <w:t>Sincerely,</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Clay V. Bland</w:t>
      </w:r>
    </w:p>
    <w:p>
      <w:pPr>
        <w:pStyle w:val="Normal"/>
        <w:jc w:val="both"/>
        <w:rPr>
          <w:sz w:val="22"/>
        </w:rPr>
      </w:pPr>
      <w:r>
        <w:rPr>
          <w:sz w:val="22"/>
        </w:rPr>
        <w:t>Staff Landman</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AGREED TO AND ACCEPTED THIS ________ DAY OF _________________, 2000.</w:t>
      </w:r>
    </w:p>
    <w:p>
      <w:pPr>
        <w:pStyle w:val="Normal"/>
        <w:jc w:val="both"/>
        <w:rPr>
          <w:sz w:val="22"/>
        </w:rPr>
      </w:pPr>
      <w:r>
        <w:rPr>
          <w:sz w:val="22"/>
        </w:rPr>
      </w:r>
    </w:p>
    <w:p>
      <w:pPr>
        <w:pStyle w:val="Normal"/>
        <w:jc w:val="both"/>
        <w:rPr>
          <w:sz w:val="22"/>
        </w:rPr>
      </w:pPr>
      <w:r>
        <w:rPr>
          <w:sz w:val="22"/>
        </w:rPr>
      </w:r>
    </w:p>
    <w:p>
      <w:pPr>
        <w:pStyle w:val="Normal"/>
        <w:jc w:val="both"/>
        <w:rPr>
          <w:sz w:val="22"/>
        </w:rPr>
      </w:pPr>
      <w:r>
        <w:rPr>
          <w:b/>
          <w:sz w:val="22"/>
        </w:rPr>
        <w:t>ENRON NORTH AMERICA CORP.</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By:</w:t>
      </w:r>
      <w:r>
        <w:rPr>
          <w:sz w:val="22"/>
          <w:u w:val="single"/>
        </w:rPr>
        <w:tab/>
        <w:tab/>
        <w:tab/>
        <w:tab/>
        <w:tab/>
        <w:tab/>
      </w:r>
    </w:p>
    <w:p>
      <w:pPr>
        <w:pStyle w:val="Normal"/>
        <w:jc w:val="both"/>
        <w:rPr>
          <w:sz w:val="22"/>
        </w:rPr>
      </w:pPr>
      <w:r>
        <w:rPr>
          <w:sz w:val="22"/>
        </w:rPr>
        <w:t>Name:</w:t>
      </w:r>
      <w:r>
        <w:rPr>
          <w:sz w:val="22"/>
          <w:u w:val="single"/>
        </w:rPr>
        <w:tab/>
        <w:tab/>
        <w:tab/>
        <w:tab/>
        <w:tab/>
        <w:tab/>
      </w:r>
    </w:p>
    <w:p>
      <w:pPr>
        <w:pStyle w:val="Normal"/>
        <w:jc w:val="both"/>
        <w:rPr>
          <w:sz w:val="22"/>
        </w:rPr>
      </w:pPr>
      <w:r>
        <w:rPr>
          <w:sz w:val="22"/>
        </w:rPr>
        <w:t>Title:</w:t>
      </w:r>
      <w:r>
        <w:rPr>
          <w:sz w:val="22"/>
          <w:u w:val="single"/>
        </w:rPr>
        <w:tab/>
        <w:tab/>
        <w:tab/>
        <w:tab/>
        <w:tab/>
        <w:tab/>
      </w:r>
      <w:r>
        <w:br w:type="page"/>
      </w:r>
    </w:p>
    <w:p>
      <w:pPr>
        <w:pStyle w:val="Normal"/>
        <w:jc w:val="center"/>
        <w:rPr>
          <w:b/>
          <w:bCs/>
        </w:rPr>
      </w:pPr>
      <w:r>
        <w:rPr>
          <w:b/>
          <w:bCs/>
        </w:rPr>
        <w:t>Exhibit “B”</w:t>
      </w:r>
    </w:p>
    <w:p>
      <w:pPr>
        <w:pStyle w:val="Normal"/>
        <w:jc w:val="center"/>
        <w:rPr>
          <w:b/>
          <w:bCs/>
        </w:rPr>
      </w:pPr>
      <w:r>
        <w:rPr>
          <w:b/>
          <w:bCs/>
        </w:rPr>
      </w:r>
    </w:p>
    <w:p>
      <w:pPr>
        <w:pStyle w:val="Normal"/>
        <w:jc w:val="center"/>
        <w:rPr>
          <w:b/>
          <w:bCs/>
        </w:rPr>
      </w:pPr>
      <w:r>
        <w:rPr>
          <w:b/>
          <w:bCs/>
        </w:rPr>
        <w:t xml:space="preserve">Attached to and made a part of that certain Confidentiality Agreement </w:t>
      </w:r>
    </w:p>
    <w:p>
      <w:pPr>
        <w:pStyle w:val="Normal"/>
        <w:jc w:val="center"/>
        <w:rPr>
          <w:b/>
          <w:bCs/>
        </w:rPr>
      </w:pPr>
      <w:r>
        <w:rPr>
          <w:b/>
          <w:bCs/>
        </w:rPr>
        <w:t xml:space="preserve">dated September 6, 2000 </w:t>
      </w:r>
    </w:p>
    <w:p>
      <w:pPr>
        <w:pStyle w:val="Normal"/>
        <w:jc w:val="center"/>
        <w:rPr>
          <w:b/>
          <w:bCs/>
        </w:rPr>
      </w:pPr>
      <w:r>
        <w:rPr>
          <w:b/>
          <w:bCs/>
        </w:rPr>
        <w:t xml:space="preserve">by and between </w:t>
      </w:r>
    </w:p>
    <w:p>
      <w:pPr>
        <w:pStyle w:val="Normal"/>
        <w:jc w:val="center"/>
        <w:rPr>
          <w:b/>
          <w:bCs/>
        </w:rPr>
      </w:pPr>
      <w:r>
        <w:rPr>
          <w:b/>
          <w:bCs/>
        </w:rPr>
        <w:t xml:space="preserve">Dominion Exploration &amp; Production, Inc. </w:t>
      </w:r>
    </w:p>
    <w:p>
      <w:pPr>
        <w:pStyle w:val="Normal"/>
        <w:jc w:val="center"/>
        <w:rPr>
          <w:b/>
          <w:bCs/>
        </w:rPr>
      </w:pPr>
      <w:r>
        <w:rPr>
          <w:b/>
          <w:bCs/>
        </w:rPr>
        <w:t>and</w:t>
      </w:r>
    </w:p>
    <w:p>
      <w:pPr>
        <w:pStyle w:val="Normal"/>
        <w:jc w:val="center"/>
        <w:rPr>
          <w:b/>
          <w:bCs/>
        </w:rPr>
      </w:pPr>
      <w:r>
        <w:rPr>
          <w:b/>
          <w:bCs/>
        </w:rPr>
        <w:t>Enron North America Corp.</w:t>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t>LEASE AND OCS BLOCK SUBJECT TO THE</w:t>
      </w:r>
    </w:p>
    <w:p>
      <w:pPr>
        <w:pStyle w:val="Normal"/>
        <w:jc w:val="center"/>
        <w:rPr>
          <w:b/>
          <w:bCs/>
        </w:rPr>
      </w:pPr>
      <w:r>
        <w:rPr>
          <w:b/>
          <w:bCs/>
        </w:rPr>
        <w:t>AREA OF MUTUAL INTEREST</w:t>
      </w:r>
    </w:p>
    <w:p>
      <w:pPr>
        <w:pStyle w:val="Normal"/>
        <w:jc w:val="center"/>
        <w:rPr>
          <w:b/>
          <w:bCs/>
        </w:rPr>
      </w:pPr>
      <w:r>
        <w:rPr>
          <w:b/>
          <w:bCs/>
        </w:rPr>
      </w:r>
    </w:p>
    <w:p>
      <w:pPr>
        <w:pStyle w:val="Normal"/>
        <w:jc w:val="center"/>
        <w:rPr>
          <w:b/>
          <w:bCs/>
        </w:rPr>
      </w:pPr>
      <w:r>
        <w:rPr>
          <w:b/>
          <w:bCs/>
        </w:rPr>
      </w:r>
    </w:p>
    <w:p>
      <w:pPr>
        <w:pStyle w:val="Normal"/>
        <w:jc w:val="center"/>
        <w:rPr>
          <w:b/>
          <w:bCs/>
        </w:rPr>
      </w:pPr>
      <w:r>
        <w:rPr>
          <w:b/>
          <w:bCs/>
        </w:rPr>
      </w:r>
    </w:p>
    <w:p>
      <w:pPr>
        <w:pStyle w:val="Normal"/>
        <w:jc w:val="center"/>
        <w:rPr>
          <w:b/>
          <w:bCs/>
        </w:rPr>
      </w:pPr>
      <w:r>
        <w:rPr>
          <w:b/>
          <w:bCs/>
        </w:rPr>
        <w:t>MISSISSIPPI CANYON AREA, BLOCK 772, OCS-G 16647</w:t>
      </w:r>
    </w:p>
    <w:p>
      <w:pPr>
        <w:pStyle w:val="Normal"/>
        <w:jc w:val="center"/>
        <w:rPr>
          <w:b/>
          <w:bCs/>
        </w:rPr>
      </w:pPr>
      <w:r>
        <w:rPr>
          <w:b/>
          <w:bCs/>
        </w:rPr>
      </w:r>
    </w:p>
    <w:p>
      <w:pPr>
        <w:pStyle w:val="Normal"/>
        <w:jc w:val="center"/>
        <w:rPr>
          <w:b/>
          <w:bCs/>
        </w:rPr>
      </w:pPr>
      <w:r>
        <w:rPr>
          <w:b/>
          <w:bCs/>
        </w:rPr>
      </w:r>
    </w:p>
    <w:p>
      <w:pPr>
        <w:pStyle w:val="Normal"/>
        <w:jc w:val="both"/>
        <w:rPr>
          <w:b/>
          <w:bCs/>
          <w:sz w:val="22"/>
        </w:rPr>
      </w:pPr>
      <w:r>
        <w:rPr>
          <w:b/>
          <w:bCs/>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2"/>
      </w:rPr>
      <w:t>SVANHOO\OFFSHORE\DEVILS TOWER\</w:t>
    </w:r>
    <w:r>
      <w:rPr>
        <w:sz w:val="12"/>
      </w:rPr>
      <w:fldChar w:fldCharType="begin"/>
    </w:r>
    <w:r>
      <w:rPr>
        <w:sz w:val="12"/>
      </w:rPr>
      <w:instrText xml:space="preserve"> FILENAME </w:instrText>
    </w:r>
    <w:r>
      <w:rPr>
        <w:sz w:val="12"/>
      </w:rPr>
      <w:fldChar w:fldCharType="separate"/>
    </w:r>
    <w:r>
      <w:rPr>
        <w:sz w:val="12"/>
      </w:rPr>
      <w:t>Confidentiality_Amendment_11_14_00_-52c8a4c7975d59832db029cd6f5c20b004c030878e4e6736aac67d2d6cd0861d.doc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Enron North America Corp.</w:t>
    </w:r>
  </w:p>
  <w:p>
    <w:pPr>
      <w:pStyle w:val="Header"/>
      <w:rPr/>
    </w:pPr>
    <w:r>
      <w:rPr/>
      <w:t>November 14, 2000</w:t>
    </w:r>
  </w:p>
  <w:p>
    <w:pPr>
      <w:pStyle w:val="Head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080"/>
        </w:tabs>
        <w:ind w:start="108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2">
    <w:name w:val="heading 2"/>
    <w:basedOn w:val="Normal"/>
    <w:next w:val="Normal"/>
    <w:qFormat/>
    <w:pPr>
      <w:numPr>
        <w:ilvl w:val="1"/>
        <w:numId w:val="1"/>
      </w:numPr>
      <w:spacing w:before="0" w:after="120"/>
      <w:jc w:val="both"/>
      <w:outlineLvl w:val="1"/>
    </w:pPr>
    <w:rPr>
      <w:rFonts w:ascii="Courier New" w:hAnsi="Courier New" w:cs="Courier New"/>
      <w:szCs w:val="20"/>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2000-11-14T12:45:00Z</dcterms:created>
  <dc:creator>pradfor</dc:creator>
  <dc:description/>
  <dc:language>en-CA</dc:language>
  <cp:lastModifiedBy>svanhoo</cp:lastModifiedBy>
  <cp:lastPrinted>2000-11-14T09:54:00Z</cp:lastPrinted>
  <dcterms:modified xsi:type="dcterms:W3CDTF">2000-11-14T13:48:00Z</dcterms:modified>
  <cp:revision>14</cp:revision>
  <dc:subject/>
  <dc:title>November 7, 2000</dc:title>
</cp:coreProperties>
</file>