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mallCaps/>
          <w:sz w:val="40"/>
        </w:rPr>
      </w:pPr>
      <w:r>
        <w:rPr>
          <w:b/>
          <w:smallCaps/>
          <w:sz w:val="40"/>
        </w:rPr>
      </w:r>
    </w:p>
    <w:p>
      <w:pPr>
        <w:pStyle w:val="Normal"/>
        <w:ind w:firstLine="2430" w:end="2790"/>
        <w:jc w:val="center"/>
        <w:rPr>
          <w:b/>
          <w:smallCaps/>
          <w:sz w:val="40"/>
        </w:rPr>
      </w:pPr>
      <w:r>
        <w:rPr>
          <w:b/>
          <w:smallCaps/>
          <w:sz w:val="40"/>
        </w:rPr>
      </w:r>
    </w:p>
    <w:p>
      <w:pPr>
        <w:pStyle w:val="Normal"/>
        <w:ind w:firstLine="2430" w:end="2790"/>
        <w:jc w:val="center"/>
        <w:rPr>
          <w:b/>
          <w:smallCaps/>
          <w:sz w:val="40"/>
        </w:rPr>
      </w:pPr>
      <w:r>
        <w:rPr>
          <w:b/>
          <w:smallCaps/>
          <w:sz w:val="40"/>
        </w:rPr>
      </w:r>
    </w:p>
    <w:p>
      <w:pPr>
        <w:pStyle w:val="Normal"/>
        <w:ind w:firstLine="2430" w:end="2790"/>
        <w:jc w:val="center"/>
        <w:rPr/>
      </w:pPr>
      <w:r>
        <w:rPr>
          <w:b/>
          <w:smallCaps/>
          <w:sz w:val="40"/>
        </w:rPr>
        <w:t xml:space="preserve">RealEnergy, </w:t>
      </w:r>
      <w:r>
        <w:rPr>
          <w:b/>
          <w:smallCaps/>
          <w:sz w:val="28"/>
        </w:rPr>
        <w:t>Inc.</w:t>
      </w:r>
    </w:p>
    <w:p>
      <w:pPr>
        <w:pStyle w:val="Normal"/>
        <w:ind w:firstLine="2430" w:end="2790"/>
        <w:jc w:val="center"/>
        <w:rPr/>
      </w:pPr>
      <w:r>
        <w:rPr>
          <w:rFonts w:cs="Century Schoolbook" w:ascii="Century Schoolbook" w:hAnsi="Century Schoolbook"/>
          <w:sz w:val="8"/>
        </w:rPr>
        <w:t>____________________________________________________________________</w:t>
      </w:r>
      <w:r>
        <w:rPr>
          <w:rFonts w:cs="Century Schoolbook" w:ascii="Century Schoolbook" w:hAnsi="Century Schoolbook"/>
          <w:sz w:val="12"/>
        </w:rPr>
        <w:t xml:space="preserve"> </w:t>
      </w:r>
    </w:p>
    <w:p>
      <w:pPr>
        <w:pStyle w:val="Heading1"/>
        <w:rPr>
          <w:rFonts w:ascii="Century Schoolbook" w:hAnsi="Century Schoolbook" w:cs="Century Schoolbook"/>
          <w:smallCaps/>
          <w:sz w:val="12"/>
        </w:rPr>
      </w:pPr>
      <w:r>
        <w:rPr>
          <w:rFonts w:cs="Century Schoolbook"/>
          <w:smallCaps/>
          <w:sz w:val="12"/>
        </w:rPr>
      </w:r>
    </w:p>
    <w:p>
      <w:pPr>
        <w:pStyle w:val="Normal"/>
        <w:ind w:hanging="450" w:start="2880" w:end="2790"/>
        <w:jc w:val="center"/>
        <w:rPr>
          <w:b/>
          <w:smallCaps/>
          <w:sz w:val="16"/>
        </w:rPr>
      </w:pPr>
      <w:r>
        <w:rPr>
          <w:b/>
          <w:smallCaps/>
          <w:sz w:val="16"/>
        </w:rPr>
      </w:r>
    </w:p>
    <w:p>
      <w:pPr>
        <w:pStyle w:val="Normal"/>
        <w:ind w:hanging="450" w:start="2880" w:end="2790"/>
        <w:jc w:val="center"/>
        <w:rPr>
          <w:b/>
          <w:smallCaps/>
          <w:sz w:val="16"/>
        </w:rPr>
      </w:pPr>
      <w:r>
        <w:rPr>
          <w:b/>
          <w:smallCaps/>
          <w:sz w:val="16"/>
        </w:rPr>
      </w:r>
    </w:p>
    <w:p>
      <w:pPr>
        <w:pStyle w:val="Normal"/>
        <w:ind w:hanging="450" w:start="2880" w:end="2790"/>
        <w:jc w:val="center"/>
        <w:rPr>
          <w:b/>
          <w:smallCaps/>
          <w:sz w:val="16"/>
        </w:rPr>
      </w:pPr>
      <w:r>
        <w:rPr>
          <w:b/>
          <w:smallCaps/>
          <w:sz w:val="16"/>
        </w:rPr>
      </w:r>
    </w:p>
    <w:p>
      <w:pPr>
        <w:pStyle w:val="Normal"/>
        <w:ind w:start="2430" w:end="2790"/>
        <w:jc w:val="center"/>
        <w:rPr>
          <w:rFonts w:ascii="Century Schoolbook" w:hAnsi="Century Schoolbook" w:cs="Century Schoolbook"/>
          <w:smallCaps/>
          <w:sz w:val="16"/>
        </w:rPr>
      </w:pPr>
      <w:r>
        <w:rPr>
          <w:rFonts w:cs="Century Schoolbook" w:ascii="Century Schoolbook" w:hAnsi="Century Schoolbook"/>
          <w:smallCaps/>
          <w:sz w:val="16"/>
        </w:rPr>
        <w:t>310.277.7000</w:t>
      </w:r>
    </w:p>
    <w:p>
      <w:pPr>
        <w:pStyle w:val="Normal"/>
        <w:ind w:start="2430" w:end="2790"/>
        <w:jc w:val="center"/>
        <w:rPr>
          <w:rFonts w:ascii="Century Schoolbook" w:hAnsi="Century Schoolbook" w:cs="Century Schoolbook"/>
          <w:smallCaps/>
          <w:sz w:val="16"/>
        </w:rPr>
      </w:pPr>
      <w:r>
        <w:rPr>
          <w:rFonts w:cs="Century Schoolbook" w:ascii="Century Schoolbook" w:hAnsi="Century Schoolbook"/>
          <w:smallCaps/>
          <w:sz w:val="16"/>
        </w:rPr>
        <w:t>Fax 310.277.7004</w:t>
      </w:r>
    </w:p>
    <w:p>
      <w:pPr>
        <w:pStyle w:val="Normal"/>
        <w:ind w:start="2430" w:end="2790"/>
        <w:jc w:val="center"/>
        <w:rPr>
          <w:rFonts w:ascii="Century Schoolbook" w:hAnsi="Century Schoolbook" w:cs="Century Schoolbook"/>
          <w:smallCaps/>
          <w:sz w:val="16"/>
        </w:rPr>
      </w:pPr>
      <w:r>
        <w:rPr>
          <w:rFonts w:cs="Century Schoolbook" w:ascii="Century Schoolbook" w:hAnsi="Century Schoolbook"/>
          <w:smallCaps/>
          <w:sz w:val="16"/>
        </w:rPr>
        <w:t>1900 Avenue of the Stars, Suite 755</w:t>
      </w:r>
    </w:p>
    <w:p>
      <w:pPr>
        <w:pStyle w:val="Normal"/>
        <w:ind w:start="2430" w:end="2790"/>
        <w:jc w:val="center"/>
        <w:rPr>
          <w:rFonts w:ascii="Century Schoolbook" w:hAnsi="Century Schoolbook" w:cs="Century Schoolbook"/>
          <w:smallCaps/>
          <w:sz w:val="16"/>
        </w:rPr>
      </w:pPr>
      <w:r>
        <w:rPr>
          <w:rFonts w:cs="Century Schoolbook" w:ascii="Century Schoolbook" w:hAnsi="Century Schoolbook"/>
          <w:smallCaps/>
          <w:sz w:val="16"/>
        </w:rPr>
        <w:t>Los Angeles, California 90067 USA</w:t>
      </w:r>
    </w:p>
    <w:p>
      <w:pPr>
        <w:pStyle w:val="Normal"/>
        <w:ind w:firstLine="2430" w:end="2790"/>
        <w:jc w:val="center"/>
        <w:rPr/>
      </w:pPr>
      <w:r>
        <w:rPr>
          <w:rFonts w:cs="Century Schoolbook" w:ascii="Century Schoolbook" w:hAnsi="Century Schoolbook"/>
          <w:sz w:val="8"/>
        </w:rPr>
        <w:t>____________________________________________________________________</w:t>
      </w:r>
      <w:r>
        <w:rPr>
          <w:rFonts w:cs="Century Schoolbook" w:ascii="Century Schoolbook" w:hAnsi="Century Schoolbook"/>
          <w:sz w:val="12"/>
        </w:rPr>
        <w:t xml:space="preserve"> </w:t>
      </w:r>
    </w:p>
    <w:p>
      <w:pPr>
        <w:pStyle w:val="Heading1"/>
        <w:rPr>
          <w:rFonts w:ascii="Century Schoolbook" w:hAnsi="Century Schoolbook" w:cs="Century Schoolbook"/>
          <w:sz w:val="12"/>
        </w:rPr>
      </w:pPr>
      <w:r>
        <w:rPr>
          <w:rFonts w:cs="Century Schoolbook"/>
          <w:sz w:val="12"/>
        </w:rPr>
      </w:r>
    </w:p>
    <w:p>
      <w:pPr>
        <w:pStyle w:val="Heading1"/>
        <w:rPr/>
      </w:pPr>
      <w:r>
        <w:rPr/>
      </w:r>
    </w:p>
    <w:p>
      <w:pPr>
        <w:pStyle w:val="Heading1"/>
        <w:rPr/>
      </w:pPr>
      <w:r>
        <w:rPr/>
      </w:r>
    </w:p>
    <w:p>
      <w:pPr>
        <w:pStyle w:val="Heading1"/>
        <w:rPr/>
      </w:pPr>
      <w:r>
        <w:rPr/>
      </w:r>
    </w:p>
    <w:p>
      <w:pPr>
        <w:pStyle w:val="Heading1"/>
        <w:ind w:hanging="0" w:end="0"/>
        <w:rPr>
          <w:smallCaps/>
        </w:rPr>
      </w:pPr>
      <w:r>
        <w:rPr>
          <w:smallCaps/>
        </w:rPr>
        <w:t>Confidentiality Agreement</w:t>
      </w:r>
    </w:p>
    <w:p>
      <w:pPr>
        <w:pStyle w:val="Normal"/>
        <w:rPr>
          <w:smallCaps/>
        </w:rPr>
      </w:pPr>
      <w:r>
        <w:rPr>
          <w:smallCaps/>
        </w:rPr>
      </w:r>
    </w:p>
    <w:p>
      <w:pPr>
        <w:sectPr>
          <w:footerReference w:type="default" r:id="rId2"/>
          <w:footerReference w:type="first" r:id="rId3"/>
          <w:type w:val="nextPage"/>
          <w:pgSz w:w="12240" w:h="15840"/>
          <w:pgMar w:left="1440" w:right="1440" w:gutter="0" w:header="0" w:top="1440" w:footer="720" w:bottom="1008"/>
          <w:pgNumType w:fmt="decimal"/>
          <w:formProt w:val="false"/>
          <w:titlePg/>
          <w:textDirection w:val="lrTb"/>
          <w:docGrid w:type="default" w:linePitch="360" w:charSpace="0"/>
        </w:sectPr>
        <w:pStyle w:val="Normal"/>
        <w:rPr/>
      </w:pPr>
      <w:r>
        <w:rPr/>
      </w:r>
    </w:p>
    <w:p>
      <w:pPr>
        <w:pStyle w:val="BodyText"/>
        <w:jc w:val="center"/>
        <w:rPr>
          <w:b/>
          <w:smallCaps/>
          <w:sz w:val="28"/>
        </w:rPr>
      </w:pPr>
      <w:r>
        <w:rPr>
          <w:b/>
          <w:smallCaps/>
          <w:sz w:val="28"/>
        </w:rPr>
        <w:t>Confidentiality Agreement</w:t>
      </w:r>
    </w:p>
    <w:p>
      <w:pPr>
        <w:pStyle w:val="BodyText"/>
        <w:rPr>
          <w:b/>
          <w:smallCaps/>
          <w:sz w:val="28"/>
        </w:rPr>
      </w:pPr>
      <w:r>
        <w:rPr>
          <w:b/>
          <w:smallCaps/>
          <w:sz w:val="28"/>
        </w:rPr>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rPr>
          <w:spacing w:val="-2"/>
          <w:sz w:val="22"/>
        </w:rPr>
      </w:pPr>
      <w:r>
        <w:rPr>
          <w:spacing w:val="-2"/>
          <w:sz w:val="22"/>
        </w:rPr>
        <w:t>THIS AGREEMENT is made between RealEnergy, Inc., a Delaware, corporation with offices at 1900 Avenue of the Stars, Suite 755, Los Angeles, California 90067 (“RealEnergy"), and,</w:t>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rPr>
          <w:spacing w:val="-2"/>
          <w:sz w:val="22"/>
        </w:rPr>
      </w:pPr>
      <w:r>
        <w:rPr>
          <w:spacing w:val="-2"/>
          <w:sz w:val="22"/>
        </w:rPr>
        <w:t>______________________.  RealEnergy and ___________________ may be referred to in this Agreement individually as a "Party" or collectively as "Parties."</w:t>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It is expressly understood that this Confidentiality Agreement is not and shall not be construed as any form of a letter of intent or agreement to enter into the Proposed Transaction.  This Confidentiality Agreement is to evidence the parties agreement to maintain the confidentiality of the Confidential Information, and shall not constitute any commitment or obligation on the part of either to enter into any specific contractual arrangement of any nature whatsoever.</w:t>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The Parties will or already have had discussions and exchanged information, and intend to continue having discussions and exchanging information, in connection with a possible transaction between them.  All such discussions referred to above hereafter will be called the "Discussions."  During and in connection with the Discussions, each Party may have need of information from the other Party that is regarded as confidential.  Accordingly, the Parties agree as follows: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tab/>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w:t>
      </w:r>
      <w:r>
        <w:rPr>
          <w:b/>
          <w:spacing w:val="-2"/>
          <w:sz w:val="22"/>
        </w:rPr>
        <w:tab/>
        <w:t>"Confidential Information"</w:t>
      </w:r>
      <w:r>
        <w:rPr>
          <w:spacing w:val="-2"/>
          <w:sz w:val="22"/>
        </w:rPr>
        <w:t xml:space="preserve"> is defined as any information that is disclosed in connection with the Discussions and is furnished by a Party to the other Party in one or more of the following forms: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ab/>
        <w:t>a.</w:t>
        <w:tab/>
      </w:r>
      <w:r>
        <w:rPr>
          <w:spacing w:val="-2"/>
          <w:kern w:val="2"/>
          <w:sz w:val="22"/>
        </w:rPr>
        <w:t>Written information, including offering documents, reports, assessments, drawings, documents, financial statements and projections, product and product cycle plans and any other written information or machine readable data;</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kern w:val="2"/>
          <w:sz w:val="22"/>
        </w:rPr>
      </w:pPr>
      <w:r>
        <w:rPr>
          <w:spacing w:val="-2"/>
          <w:kern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ab/>
        <w:t>b.</w:t>
        <w:tab/>
        <w:t>Information, including demonstrations, which is furnished orally; and</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ab/>
        <w:t>c.</w:t>
        <w:tab/>
        <w:t>Any item of hardware, including samples, devices and any other physical embodiments delivered to the receiving Party.</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2.</w:t>
      </w:r>
      <w:r>
        <w:rPr>
          <w:b/>
          <w:spacing w:val="-2"/>
          <w:sz w:val="22"/>
        </w:rPr>
        <w:tab/>
        <w:t>Incorporation of Confidential Information in Other Documents.</w:t>
      </w:r>
      <w:r>
        <w:rPr>
          <w:spacing w:val="-2"/>
          <w:sz w:val="22"/>
        </w:rPr>
        <w:t xml:space="preserve">  In the event Confidential Information is incorporated into or reflected in other documents, whether separately or jointly generated by the Parties, such other documents will be deemed Confidential Information subject to the terms of this Agreement.</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3.</w:t>
      </w:r>
      <w:r>
        <w:rPr>
          <w:b/>
          <w:spacing w:val="-2"/>
          <w:sz w:val="22"/>
        </w:rPr>
        <w:tab/>
        <w:t>Non-Disclosure.</w:t>
      </w:r>
      <w:r>
        <w:rPr>
          <w:spacing w:val="-2"/>
          <w:sz w:val="22"/>
        </w:rPr>
        <w:t xml:space="preserve">  The receiving Party shall, for a period beginning with the first date of receipt of each respective disclosure and continuing for twenty-four months (24 months) thereafter, use reasonable care to maintain the confidentiality of Confidential Information and to limit its disclosure to such of its directors, employees, agents, advisors or subsidiaries as have a need to know such Confidential Information in order that the objectives of the Discussions can be achieved.  The receiving Party shall be responsible for the compliance by such directors, employees, agents, advisors or subsidiaries with the provisions of this Agreement.  "Reasonable care" shall mean the same degree of care exercised by the receiving Party with respect to its own information of the same nature as Confidential Information.</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4.</w:t>
      </w:r>
      <w:r>
        <w:rPr>
          <w:b/>
          <w:spacing w:val="-2"/>
          <w:sz w:val="22"/>
        </w:rPr>
        <w:tab/>
        <w:t>Exceptions to Confidentiality Obligations.</w:t>
      </w:r>
      <w:r>
        <w:rPr>
          <w:spacing w:val="-2"/>
          <w:sz w:val="22"/>
        </w:rPr>
        <w:t xml:space="preserve">  The confidentiality and limited use obligations of this Agreement will not apply to information received pursuant to this Agreement which:</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tab/>
        <w:t>a.</w:t>
        <w:tab/>
        <w:t>Is or becomes publicly known other than through a breach of this Agreement by the receiving Party; or</w:t>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r>
    </w:p>
    <w:p>
      <w:pPr>
        <w:pStyle w:val="Normal"/>
        <w:numPr>
          <w:ilvl w:val="0"/>
          <w:numId w:val="3"/>
        </w:numPr>
        <w:tabs>
          <w:tab w:val="left" w:pos="270" w:leader="none"/>
          <w:tab w:val="left" w:pos="720"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0" w:start="720" w:end="0"/>
        <w:jc w:val="both"/>
        <w:rPr>
          <w:spacing w:val="-2"/>
          <w:sz w:val="22"/>
        </w:rPr>
      </w:pPr>
      <w:r>
        <w:rPr>
          <w:spacing w:val="-2"/>
          <w:sz w:val="22"/>
        </w:rPr>
        <w:t>Is already known to the receiving Party at the time of disclosure as evidenced by the receiving Party's written documentation; or</w:t>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tab/>
        <w:t>c.</w:t>
        <w:tab/>
        <w:t>Is lawfully received by the receiving Party from a third party without breach of this Agreement or breach of any other agreement between the disclosing Party and such third party; or</w:t>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t>d.</w:t>
        <w:tab/>
        <w:t>Is independently developed by employees of the receiving Party who have not had access to or received any Confidential Information under this Agreement; or</w:t>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t>e.</w:t>
        <w:tab/>
        <w:t>Is furnished to a third party by the disclosing Party without restriction on the third party's rights to disclose; or</w:t>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r>
    </w:p>
    <w:p>
      <w:pPr>
        <w:pStyle w:val="Normal"/>
        <w:tabs>
          <w:tab w:val="left" w:pos="270" w:leader="none"/>
          <w:tab w:val="left" w:pos="72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start="720" w:end="0"/>
        <w:jc w:val="both"/>
        <w:rPr>
          <w:spacing w:val="-2"/>
          <w:sz w:val="22"/>
        </w:rPr>
      </w:pPr>
      <w:r>
        <w:rPr>
          <w:spacing w:val="-2"/>
          <w:sz w:val="22"/>
        </w:rPr>
        <w:t>f.</w:t>
        <w:tab/>
        <w:tab/>
        <w:t>Is authorized in writing by the disclosing Party to be released from the confidentiality obligations herein.</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Specific information shall not be deemed to be within the foregoing exceptions merely because it is included within general information which is within the exceptions, nor will a combination of features be deemed to be within such exceptions merely because the individual features of the combination are separately included within such exceptions.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The Party relying on any of the foregoing exceptions to the confidentiality obligations herein shall bear the burden of proving the applicability of the exception.</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5.</w:t>
      </w:r>
      <w:r>
        <w:rPr>
          <w:b/>
          <w:spacing w:val="-2"/>
          <w:sz w:val="22"/>
        </w:rPr>
        <w:tab/>
        <w:t>Ownership of Confidential Information.</w:t>
      </w:r>
      <w:r>
        <w:rPr>
          <w:spacing w:val="-2"/>
          <w:sz w:val="22"/>
        </w:rPr>
        <w:t xml:space="preserve">  Confidential Information shall remain the exclusive property of the disclosing Party.  The receiving Party agrees that Confidential Information disclosed hereunder is being received subject to the disclosing Party's ownership rights in such Confidential Information and, further, subject to all relevant intellectual and/or proprietary property rights of the disclosing Party, including the relevant laws governing patents, trademarks, copyrights, semiconductor chip protection, trade secrets and unfair competition.</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6.</w:t>
      </w:r>
      <w:r>
        <w:rPr>
          <w:b/>
          <w:spacing w:val="-2"/>
          <w:sz w:val="22"/>
        </w:rPr>
        <w:tab/>
        <w:t>Return of Certain Confidential Information.</w:t>
      </w:r>
      <w:r>
        <w:rPr>
          <w:spacing w:val="-2"/>
          <w:sz w:val="22"/>
        </w:rPr>
        <w:t xml:space="preserve">  Upon the expiration or termination of the Discussions, or upon the earlier request of the disclosing Party, the receiving Party shall, at its own expense, either promptly return to the disclosing Party all originals and copies of the writings and hardware in its possession which contain Confidential Information or by written notice, executed by the receiving Party, certify that such writings or hardware have been destroyed.</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numPr>
          <w:ilvl w:val="0"/>
          <w:numId w:val="2"/>
        </w:numPr>
        <w:tabs>
          <w:tab w:val="clear" w:pos="720"/>
          <w:tab w:val="left" w:pos="0" w:leader="none"/>
          <w:tab w:val="left" w:pos="27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0" w:start="0" w:end="0"/>
        <w:jc w:val="both"/>
        <w:rPr>
          <w:spacing w:val="-2"/>
          <w:sz w:val="22"/>
        </w:rPr>
      </w:pPr>
      <w:r>
        <w:rPr>
          <w:b/>
          <w:spacing w:val="-2"/>
          <w:sz w:val="22"/>
        </w:rPr>
        <w:t>Use of Confidential Information.</w:t>
      </w:r>
      <w:r>
        <w:rPr>
          <w:spacing w:val="-2"/>
          <w:sz w:val="22"/>
        </w:rPr>
        <w:t xml:space="preserve">  Confidential Information will not be copied or used by the receiving Party for any purpose other than in connection with the Discussions.  With regard to Confidential Information which is covered by copyrights belonging to the disclosing Party, it is agreed that the disclosing Party reserves all rights therein.  However, the Parties further agree that a limited number of copies of written materials covered by such copyrights (not including machine readable data) may be made by the receiving Party so that the receiving Party can adequately use such Confidential Information within the terms and conditions of this Agreement, provided that all proprietary legends and notices on the originals are also reproduced on such copies and that each copy is controlled by the receiving Party as an original in accordance with the terms of this Agreement.</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numPr>
          <w:ilvl w:val="0"/>
          <w:numId w:val="2"/>
        </w:numPr>
        <w:tabs>
          <w:tab w:val="clear" w:pos="720"/>
          <w:tab w:val="left" w:pos="0" w:leader="none"/>
          <w:tab w:val="left" w:pos="450"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0" w:start="0" w:end="0"/>
        <w:jc w:val="both"/>
        <w:rPr>
          <w:spacing w:val="-2"/>
          <w:sz w:val="22"/>
        </w:rPr>
      </w:pPr>
      <w:r>
        <w:rPr>
          <w:b/>
          <w:spacing w:val="-2"/>
          <w:sz w:val="22"/>
        </w:rPr>
        <w:t>Information Regarding Existence of Discussions.</w:t>
      </w:r>
      <w:r>
        <w:rPr>
          <w:spacing w:val="-2"/>
          <w:sz w:val="22"/>
        </w:rPr>
        <w:t xml:space="preserve">  During the pendency of the term of this Agreement and for a period of thirty days thereafter, except as required by law, no Party shall issue any statement, confirm, or otherwise disclose to the general public, to the news media, or to any third party, except with the prior written concurrence of the other Party both as to the content and timing of any such disclosure, (i) that the Discussions are taking or have taken place, (ii) that the Parties have exchanged information with a view toward the consummation or implementation of an agreement, or (iii) the existence of this Agreement.</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9.</w:t>
      </w:r>
      <w:r>
        <w:rPr>
          <w:b/>
          <w:spacing w:val="-2"/>
          <w:sz w:val="22"/>
        </w:rPr>
        <w:tab/>
        <w:t>Legally Required Disclosure.</w:t>
      </w:r>
      <w:r>
        <w:rPr>
          <w:spacing w:val="-2"/>
          <w:sz w:val="22"/>
        </w:rPr>
        <w:t xml:space="preserve">  If the receiving Party becomes legally compelled (by oral questions, interrogatories, request for information or documents, subpoena, civil investigative demand or similar process) to disclose any Confidential Information, the receiving Party will provide the disclosing Party with prompt written notice so the disclosing Party may seek a protective order or other appropriate remedy and/or waive compliance with the provisions of this Agreement.  In the event such protective order or other remedy is not obtained, or the disclosing Party waives compliance with the provisions of this Agreement, the receiving Party will furnish only that Confidential Information which is legally required and will exercise reasonable efforts to obtain reliable assurance that confidential treatment will be accorded the Confidential Information so disclosed.</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10.</w:t>
      </w:r>
      <w:r>
        <w:rPr>
          <w:b/>
          <w:spacing w:val="-2"/>
          <w:sz w:val="22"/>
        </w:rPr>
        <w:tab/>
        <w:t>Export of Confidential Information.</w:t>
      </w:r>
      <w:r>
        <w:rPr>
          <w:spacing w:val="-2"/>
          <w:sz w:val="22"/>
        </w:rPr>
        <w:t xml:space="preserve">  Each Party receiving Confidential Information hereunder agrees that it and its employees will not export such Confidential Information in contravention of the provisions of (1) the U.S. Export Administration Act of 1985 and the Regulations issued thereunder; and (2) any other relevant laws of other countries.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11.</w:t>
      </w:r>
      <w:r>
        <w:rPr>
          <w:b/>
          <w:spacing w:val="-2"/>
          <w:sz w:val="22"/>
        </w:rPr>
        <w:tab/>
        <w:t>No Assignment.</w:t>
      </w:r>
      <w:r>
        <w:rPr>
          <w:spacing w:val="-2"/>
          <w:sz w:val="22"/>
        </w:rPr>
        <w:t xml:space="preserve">  No Party may assign any of its rights or delegate any of its obligations under this Agreement, except with the prior written consent of the other Party.</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12.</w:t>
      </w:r>
      <w:r>
        <w:rPr>
          <w:b/>
          <w:spacing w:val="-2"/>
          <w:sz w:val="22"/>
        </w:rPr>
        <w:tab/>
        <w:t>Term of Agreement.</w:t>
      </w:r>
      <w:r>
        <w:rPr>
          <w:spacing w:val="-2"/>
          <w:sz w:val="22"/>
        </w:rPr>
        <w:t xml:space="preserve">  This Agreement will be effective as of the date hereof and will terminate two years after its effective date unless extended by mutual agreement of the Parties.  Notwithstanding the termination of this Agreement, the obligations of limited use and nondisclosure hereunder will remain in effect until expiration of the appropriate period of confidentiality, unless superseded by a subsequent written agreement between the Parties.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13.</w:t>
      </w:r>
      <w:r>
        <w:rPr>
          <w:b/>
          <w:spacing w:val="-2"/>
          <w:sz w:val="22"/>
        </w:rPr>
        <w:tab/>
        <w:t>Governing Laws.</w:t>
      </w:r>
      <w:r>
        <w:rPr>
          <w:spacing w:val="-2"/>
          <w:sz w:val="22"/>
        </w:rPr>
        <w:t xml:space="preserve">  This Agreement will be governed by and construed in accordance with the laws of the State of California, choice of law rules excepted.  The Parties hereto consent to the jurisdiction of the courts of the State of California in all matters pertaining to this Agreement.</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14.</w:t>
      </w:r>
      <w:r>
        <w:rPr>
          <w:b/>
          <w:spacing w:val="-2"/>
          <w:sz w:val="22"/>
        </w:rPr>
        <w:tab/>
        <w:t>No Patent or Trademark License.</w:t>
      </w:r>
      <w:r>
        <w:rPr>
          <w:spacing w:val="-2"/>
          <w:sz w:val="22"/>
        </w:rPr>
        <w:t xml:space="preserve">  Nothing herein shall be construed as granting or conferring upon a Party hereunder, expressly, implied, or otherwise, any licenses or other rights under any patents, trademarks or any other intellectual and/or proprietary rights which the other Party hereunder now owns or may hereafter acquire.</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spacing w:val="-2"/>
          <w:sz w:val="22"/>
        </w:rPr>
        <w:t>15.</w:t>
      </w:r>
      <w:r>
        <w:rPr>
          <w:b/>
          <w:spacing w:val="-2"/>
          <w:sz w:val="22"/>
        </w:rPr>
        <w:tab/>
        <w:t>Integration.</w:t>
      </w:r>
      <w:r>
        <w:rPr>
          <w:spacing w:val="-2"/>
          <w:sz w:val="22"/>
        </w:rPr>
        <w:t xml:space="preserve">  This Agreement supersedes all previous oral and written agreements, if any, among the Parties regarding confidentiality of information disclosed in connection with the Discussions.</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tab/>
        <w:t>IN WITNESS WHEREOF, the Parties have caused this Agreement to be executed by their duly authorized representatives as of the day and date first above written.</w:t>
      </w:r>
    </w:p>
    <w:p>
      <w:pPr>
        <w:pStyle w:val="Normal"/>
        <w:tabs>
          <w:tab w:val="clear" w:pos="720"/>
          <w:tab w:val="left" w:pos="0" w:leader="none"/>
          <w:tab w:val="left" w:pos="288"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tab/>
        <w:tab/>
      </w:r>
    </w:p>
    <w:p>
      <w:pPr>
        <w:pStyle w:val="Normal"/>
        <w:tabs>
          <w:tab w:val="clear" w:pos="720"/>
          <w:tab w:val="left" w:pos="0" w:leader="none"/>
          <w:tab w:val="left" w:pos="288" w:leader="none"/>
          <w:tab w:val="left" w:pos="1008" w:leader="none"/>
          <w:tab w:val="left" w:pos="1296" w:leader="none"/>
          <w:tab w:val="left" w:pos="5328" w:leader="none"/>
          <w:tab w:val="left" w:pos="6048" w:leader="none"/>
          <w:tab w:val="left" w:pos="7008" w:leader="none"/>
          <w:tab w:val="left" w:pos="7488" w:leader="none"/>
          <w:tab w:val="left" w:pos="8208" w:leader="none"/>
          <w:tab w:val="left" w:pos="8928" w:leader="none"/>
          <w:tab w:val="left" w:pos="9360" w:leader="none"/>
        </w:tabs>
        <w:suppressAutoHyphens w:val="true"/>
        <w:ind w:hanging="288" w:start="288" w:end="0"/>
        <w:jc w:val="both"/>
        <w:rPr/>
      </w:pPr>
      <w:r>
        <w:rPr>
          <w:b/>
          <w:spacing w:val="-2"/>
          <w:sz w:val="22"/>
        </w:rPr>
        <w:tab/>
        <w:t>RealEnergy, Inc.</w:t>
        <w:tab/>
        <w:t>___________________________</w:t>
      </w:r>
      <w:r>
        <w:rPr>
          <w:spacing w:val="-2"/>
          <w:sz w:val="22"/>
        </w:rPr>
        <w:tab/>
      </w:r>
    </w:p>
    <w:p>
      <w:pPr>
        <w:pStyle w:val="Normal"/>
        <w:tabs>
          <w:tab w:val="clear" w:pos="720"/>
          <w:tab w:val="left" w:pos="0" w:leader="none"/>
          <w:tab w:val="left" w:pos="288" w:leader="none"/>
          <w:tab w:val="left" w:pos="1008" w:leader="none"/>
          <w:tab w:val="left" w:pos="1296" w:leader="none"/>
          <w:tab w:val="left" w:pos="5328" w:leader="none"/>
          <w:tab w:val="left" w:pos="6048" w:leader="none"/>
          <w:tab w:val="left" w:pos="700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r>
    </w:p>
    <w:p>
      <w:pPr>
        <w:pStyle w:val="Normal"/>
        <w:tabs>
          <w:tab w:val="clear" w:pos="720"/>
          <w:tab w:val="left" w:pos="0" w:leader="none"/>
          <w:tab w:val="left" w:pos="288" w:leader="none"/>
          <w:tab w:val="left" w:pos="1008" w:leader="none"/>
          <w:tab w:val="left" w:pos="1296" w:leader="none"/>
          <w:tab w:val="left" w:pos="5328" w:leader="none"/>
          <w:tab w:val="left" w:pos="6048" w:leader="none"/>
          <w:tab w:val="left" w:pos="700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tab/>
        <w:t>By:  Paul E. Slye</w:t>
        <w:tab/>
        <w:t>___________________________</w:t>
      </w:r>
    </w:p>
    <w:p>
      <w:pPr>
        <w:pStyle w:val="Normal"/>
        <w:tabs>
          <w:tab w:val="clear" w:pos="720"/>
          <w:tab w:val="left" w:pos="0" w:leader="none"/>
          <w:tab w:val="left" w:pos="288" w:leader="none"/>
          <w:tab w:val="left" w:pos="1008" w:leader="none"/>
          <w:tab w:val="left" w:pos="1296" w:leader="none"/>
          <w:tab w:val="left" w:pos="5328" w:leader="none"/>
          <w:tab w:val="left" w:pos="6048" w:leader="none"/>
          <w:tab w:val="left" w:pos="7008" w:leader="none"/>
          <w:tab w:val="left" w:pos="7488" w:leader="none"/>
          <w:tab w:val="left" w:pos="8208" w:leader="none"/>
          <w:tab w:val="left" w:pos="8928" w:leader="none"/>
          <w:tab w:val="left" w:pos="9360" w:leader="none"/>
        </w:tabs>
        <w:suppressAutoHyphens w:val="true"/>
        <w:ind w:hanging="288" w:start="288" w:end="0"/>
        <w:jc w:val="both"/>
        <w:rPr>
          <w:spacing w:val="-2"/>
          <w:sz w:val="22"/>
        </w:rPr>
      </w:pPr>
      <w:r>
        <w:rPr>
          <w:spacing w:val="-2"/>
          <w:sz w:val="22"/>
        </w:rPr>
        <w:tab/>
        <w:t>Title:  President</w:t>
        <w:tab/>
        <w:t xml:space="preserve">Title:  </w:t>
      </w:r>
      <w:r>
        <w:rPr>
          <w:spacing w:val="-2"/>
          <w:sz w:val="22"/>
          <w:u w:val="single"/>
        </w:rPr>
        <w:t xml:space="preserve">                     </w:t>
      </w:r>
    </w:p>
    <w:p>
      <w:pPr>
        <w:pStyle w:val="Normal"/>
        <w:tabs>
          <w:tab w:val="clear" w:pos="720"/>
          <w:tab w:val="left" w:pos="0" w:leader="none"/>
          <w:tab w:val="left" w:pos="288" w:leader="none"/>
          <w:tab w:val="left" w:pos="1008" w:leader="none"/>
          <w:tab w:val="left" w:pos="1296" w:leader="none"/>
          <w:tab w:val="left" w:pos="5328" w:leader="none"/>
          <w:tab w:val="left" w:pos="6048" w:leader="none"/>
          <w:tab w:val="left" w:pos="7008" w:leader="none"/>
          <w:tab w:val="left" w:pos="7488" w:leader="none"/>
          <w:tab w:val="left" w:pos="8208" w:leader="none"/>
          <w:tab w:val="left" w:pos="8928" w:leader="none"/>
          <w:tab w:val="left" w:pos="9360" w:leader="none"/>
        </w:tabs>
        <w:suppressAutoHyphens w:val="true"/>
        <w:jc w:val="both"/>
        <w:rPr>
          <w:spacing w:val="-2"/>
          <w:sz w:val="22"/>
        </w:rPr>
      </w:pPr>
      <w:r>
        <w:rPr>
          <w:spacing w:val="-2"/>
          <w:sz w:val="22"/>
        </w:rPr>
        <w:tab/>
        <w:t>Date:_______________________</w:t>
        <w:tab/>
        <w:t>Date:_______________________</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TC Bookman Ligh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rFonts w:cs="ITC Bookman Light;Times New Roman" w:ascii="ITC Bookman Light;Times New Roman" w:hAnsi="ITC Bookman Light;Times New Roman"/>
        <w:spacing w:val="-1"/>
        <w:sz w:val="16"/>
      </w:rPr>
      <w:t>© RealEnergy, LLC, 2000</w:t>
      <w:tab/>
      <w:tab/>
      <w:tab/>
      <w:tab/>
      <w:tab/>
      <w:tab/>
      <w:tab/>
      <w:tab/>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sz w:val="16"/>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rPr/>
    </w:pPr>
    <w:r>
      <w:rPr>
        <w:rFonts w:cs="ITC Bookman Light;Times New Roman" w:ascii="ITC Bookman Light;Times New Roman" w:hAnsi="ITC Bookman Light;Times New Roman"/>
        <w:spacing w:val="-1"/>
        <w:sz w:val="16"/>
      </w:rPr>
      <w:t>© RealEnergy, LLC, 2000</w:t>
      <w:tab/>
      <w:tab/>
      <w:tab/>
      <w:tab/>
      <w:tab/>
      <w:tab/>
      <w:tab/>
      <w:tab/>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sz w:val="16"/>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Confidentiality Agreement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lvl>
  </w:abstractNum>
  <w:abstractNum w:abstractNumId="3">
    <w:lvl w:ilvl="0">
      <w:start w:val="2"/>
      <w:numFmt w:val="lowerLetter"/>
      <w:lvlText w:val="%1."/>
      <w:lvlJc w:val="start"/>
      <w:pPr>
        <w:tabs>
          <w:tab w:val="num" w:pos="855"/>
        </w:tabs>
        <w:ind w:start="855" w:hanging="57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ind w:firstLine="2430" w:start="0" w:end="2790"/>
      <w:jc w:val="center"/>
      <w:outlineLvl w:val="0"/>
    </w:pPr>
    <w:rPr>
      <w:rFonts w:ascii="Century Schoolbook" w:hAnsi="Century Schoolbook" w:cs="Century Schoolbook"/>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864" w:leader="none"/>
        <w:tab w:val="left" w:pos="1296" w:leader="none"/>
        <w:tab w:val="left" w:pos="1872"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 w:val="left" w:pos="8928" w:leader="none"/>
        <w:tab w:val="left" w:pos="9360" w:leader="none"/>
      </w:tabs>
      <w:suppressAutoHyphens w:val="true"/>
      <w:jc w:val="both"/>
    </w:pPr>
    <w:rPr>
      <w:spacing w:val="-2"/>
      <w:sz w:val="22"/>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2001-05-15T12:00:00Z</dcterms:created>
  <dc:creator>Paul M. Dello Iacono</dc:creator>
  <dc:description/>
  <dc:language>en-CA</dc:language>
  <cp:lastModifiedBy>Greg</cp:lastModifiedBy>
  <cp:lastPrinted>2001-02-27T10:23:00Z</cp:lastPrinted>
  <dcterms:modified xsi:type="dcterms:W3CDTF">2001-05-15T12:00:00Z</dcterms:modified>
  <cp:revision>2</cp:revision>
  <dc:subject/>
  <dc:title>CONFIDENTIALITY AGREEMENT</dc:title>
</cp:coreProperties>
</file>