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AGREEMENT</w:t>
      </w:r>
    </w:p>
    <w:p>
      <w:pPr>
        <w:pStyle w:val="BodyText"/>
        <w:spacing w:lineRule="auto" w:line="480"/>
        <w:jc w:val="both"/>
        <w:rPr/>
      </w:pPr>
      <w:r>
        <w:rPr/>
        <w:t>This Confidentiality Agreement (this “Agreement”) is entered into as of April ____, 2001 by and between Enron North America Corp. (“Enron”) and Duke Energy LNG Sales, Inc., a Delaware corporation (“Duke LNG”).</w:t>
      </w:r>
    </w:p>
    <w:p>
      <w:pPr>
        <w:pStyle w:val="BodyText"/>
        <w:spacing w:lineRule="auto" w:line="480"/>
        <w:jc w:val="both"/>
        <w:rPr/>
      </w:pPr>
      <w:r>
        <w:rPr/>
        <w:t>WHEREAS, Enron and Duke LNG previously held certain confidential discussions respecting a possible transaction with Duke LNG and Sonatrach involving LNG purchases, transportation and terminalling, including the possible acquisition by Enron of the stock of Duke LNG;</w:t>
      </w:r>
    </w:p>
    <w:p>
      <w:pPr>
        <w:pStyle w:val="BodyText"/>
        <w:spacing w:lineRule="auto" w:line="480"/>
        <w:jc w:val="both"/>
        <w:rPr/>
      </w:pPr>
      <w:r>
        <w:rPr/>
        <w:t>WHEREAS, in connection with such discussions, Duke LNG may have provided to Enron certain information that is either confidential, proprietary or otherwise not generally available to the public; and</w:t>
      </w:r>
    </w:p>
    <w:p>
      <w:pPr>
        <w:pStyle w:val="BodyText"/>
        <w:spacing w:lineRule="auto" w:line="480"/>
        <w:jc w:val="both"/>
        <w:rPr/>
      </w:pPr>
      <w:r>
        <w:rPr/>
        <w:t>WHEREAS, Enron and Duke LNG now propose to enter into further confidential discussions of a possible transaction, which may include the acquisition by Enron or an affiliate thereof of the outstanding stock of Duke LNG (the “Potential Acquisition”) and, in connection therewith, are prepared to exchange certain information that is either confidential, proprietary or otherwise not generally available to the public for purposes of enabling the parties to evaluate their respective interest in a Potential Acquisition.</w:t>
      </w:r>
    </w:p>
    <w:p>
      <w:pPr>
        <w:pStyle w:val="BodyText"/>
        <w:spacing w:lineRule="auto" w:line="480"/>
        <w:jc w:val="both"/>
        <w:rPr/>
      </w:pPr>
      <w:r>
        <w:rPr/>
        <w:t>NOW THEREFORE, as a condition to exchanging such information, Enron and Duke LNG agree as follows:</w:t>
      </w:r>
    </w:p>
    <w:p>
      <w:pPr>
        <w:pStyle w:val="BodyText"/>
        <w:numPr>
          <w:ilvl w:val="0"/>
          <w:numId w:val="5"/>
        </w:numPr>
        <w:tabs>
          <w:tab w:val="clear" w:pos="720"/>
        </w:tabs>
        <w:spacing w:lineRule="auto" w:line="480"/>
        <w:jc w:val="both"/>
        <w:rPr/>
      </w:pPr>
      <w:r>
        <w:rPr>
          <w:u w:val="single"/>
        </w:rPr>
        <w:t>Nondisclosure of Confidential Information</w:t>
      </w:r>
      <w:r>
        <w:rPr/>
        <w:t xml:space="preserve">.  The Confidential Information (as defined in Section 4) will be used solely for the purpose of discussions, negotiations and evaluation of the Potential Acquisition.  The Confidential Information will be kept confidential by the party receiving such information (the “Receiving Party”) and will not be disclosed to any other person; </w:t>
      </w:r>
      <w:r>
        <w:rPr>
          <w:u w:val="single"/>
        </w:rPr>
        <w:t>provided</w:t>
      </w:r>
      <w:r>
        <w:rPr/>
        <w:t xml:space="preserve"> that (a) the Confidential Information may be disclosed to directors, officers, employees or representatives of the Receiving Party or any corporation or other entity that controls the Receiving Party (collectively, “Representatives”), but only if such Representatives need to know the Confidential Information for the purpose described above, and (b) any disclosure of the Confidential Information required by law may be made upon the conditions set forth in Section 3.  It is understood that (i) the Receiving Party shall inform any of its Representatives to whom Confidential Information is disclosed of the confidential nature of the Confidential Information and the requirement that it not be used other than for the purpose described above, (ii) such Representatives shall be required to agree to and be bound by the terms of this Agreement as if a party hereto as a condition of receiving the Confidential Information, and (iii) the Receiving Party shall be responsible for any breach of this Agreement by any of its Representatives.  The Receiving Party shall take reasonable steps to safeguard against unauthorized disclosure of Confidential Information received from the party furnishing such information (the “Disclosing Party”).  </w:t>
      </w:r>
    </w:p>
    <w:p>
      <w:pPr>
        <w:pStyle w:val="BodyText"/>
        <w:numPr>
          <w:ilvl w:val="0"/>
          <w:numId w:val="5"/>
        </w:numPr>
        <w:tabs>
          <w:tab w:val="clear" w:pos="720"/>
          <w:tab w:val="left" w:pos="1440" w:leader="none"/>
        </w:tabs>
        <w:spacing w:lineRule="auto" w:line="480"/>
        <w:jc w:val="both"/>
        <w:rPr/>
      </w:pPr>
      <w:r>
        <w:rPr>
          <w:u w:val="single"/>
        </w:rPr>
        <w:t>Disclosure of Confidential Information</w:t>
      </w:r>
      <w:r>
        <w:rPr/>
        <w:t>. Without the prior written consent of the Disclosing Party, the Receiving Party will not disclose the Confidential Information of the other party to any third party.</w:t>
      </w:r>
    </w:p>
    <w:p>
      <w:pPr>
        <w:pStyle w:val="BodyText"/>
        <w:spacing w:lineRule="auto" w:line="480"/>
        <w:jc w:val="both"/>
        <w:rPr/>
      </w:pPr>
      <w:r>
        <w:rPr/>
        <w:t>Notwithstanding anything to the contrary herein, Enron understands and agrees that, in order to facilitate a potential transaction, Duke LNG may disclose and explain to L’Enterprise Nationale Pour La Recherche, La Production, Le Transport, Le Transformation Et La Commercialisation Des Hydrocarbures (Sonatrach) (“Sonatrach”) or Sonatrading Amsterdam B.V. (“Sonatrading”) any proposal by Enron respecting a Potential Acquisition.  Accordingly, Enron will identify in writing any Confidential Information it discloses to Duke LNG that it does not wish Duke LNG to disclose to Sonatrach or Sonatrading.  Enron understands that Duke LNG may disclose to Sonatrach any of Enron’s Confidential Information that is not so identified.</w:t>
      </w:r>
    </w:p>
    <w:p>
      <w:pPr>
        <w:pStyle w:val="BodyText"/>
        <w:spacing w:lineRule="auto" w:line="480"/>
        <w:jc w:val="both"/>
        <w:rPr/>
      </w:pPr>
      <w:r>
        <w:rPr/>
        <w:t>For the avoidance of doubt, notwithstanding anything to the contrary herein, Enron shall not, except in accordance with Section 3 hereof, disclose any of the Confidential Information to Sonatrach, Sonatrading, or any affiliate or Representative thereof, without the prior written consent of Duke LNG.</w:t>
      </w:r>
    </w:p>
    <w:p>
      <w:pPr>
        <w:pStyle w:val="BodyText"/>
        <w:numPr>
          <w:ilvl w:val="0"/>
          <w:numId w:val="3"/>
        </w:numPr>
        <w:tabs>
          <w:tab w:val="left" w:pos="720" w:leader="none"/>
          <w:tab w:val="left" w:pos="1440" w:leader="none"/>
        </w:tabs>
        <w:spacing w:lineRule="auto" w:line="480"/>
        <w:ind w:firstLine="720" w:start="0" w:end="0"/>
        <w:jc w:val="both"/>
        <w:rPr/>
      </w:pPr>
      <w:r>
        <w:rPr>
          <w:u w:val="single"/>
        </w:rPr>
        <w:t>Notice Preceding Compelled Disclosure</w:t>
      </w:r>
      <w:r>
        <w:rPr/>
        <w:t>.  If either party or its Representatives are requested or required (by oral question, interrogatories, requests for information or documents, subpoena, civil investigative demand or similar process) to disclose any Confidential Information, the party so requested or required will promptly notify the other party of such request or requirement so that it may seek an appropriate protective order or waive compliance with provisions of this Agreement.  If, in the absence of a protective order or the receipt of a waiver hereunder, the Receiving Party or its Representatives are, in the written opinion of its counsel addressed to the Disclosing Party, compelled to disclose the Confidential Information or else stand liable for contempt or suffer other censure or penalty, the Receiving Party may disclose only such of the Confidential Information to the party compelling disclosure as is required by law.  The Receiving Party will use all reasonable efforts to obtain a protective order or other reliable assurance that confidential treatment will be accorded the Confidential Information.</w:t>
      </w:r>
    </w:p>
    <w:p>
      <w:pPr>
        <w:pStyle w:val="BodyText"/>
        <w:numPr>
          <w:ilvl w:val="0"/>
          <w:numId w:val="3"/>
        </w:numPr>
        <w:tabs>
          <w:tab w:val="left" w:pos="720" w:leader="none"/>
          <w:tab w:val="left" w:pos="1440" w:leader="none"/>
        </w:tabs>
        <w:spacing w:lineRule="auto" w:line="480"/>
        <w:ind w:firstLine="720" w:start="0" w:end="0"/>
        <w:jc w:val="both"/>
        <w:rPr/>
      </w:pPr>
      <w:r>
        <w:rPr>
          <w:u w:val="single"/>
        </w:rPr>
        <w:t>Definition of “Confidential Information”</w:t>
      </w:r>
      <w:r>
        <w:rPr/>
        <w:t>.  As used herein, “Confidential Information” means all information, contracts, documents or other materials that are exchanged between the parties in connection with the discussions described above, including without limitation any such information, contracts, documents or other materials exchanged between the parties prior to the date hereof in connection with discussions described in the first recital to this Agreement.  Notwithstanding the foregoing, the obligations imposed by this Agreement relating to Confidential Information shall not be applicable to the following:  (a) information which is or becomes generally available to the public other than as a result of an unauthorized disclosure by the Receiving Party, (b) information which was already known to the Receiving Party on a nonconfidential basis prior to being furnished by the Disclosing Party or (c) information which becomes available to the Receiving Party on a nonconfidential basis from a source other than the Disclosing Party if such source was not subject to any prohibition against transmitting the information to the Receiving Party on a nonconfidential basis.</w:t>
      </w:r>
    </w:p>
    <w:p>
      <w:pPr>
        <w:pStyle w:val="BodyText"/>
        <w:numPr>
          <w:ilvl w:val="0"/>
          <w:numId w:val="3"/>
        </w:numPr>
        <w:tabs>
          <w:tab w:val="left" w:pos="720" w:leader="none"/>
          <w:tab w:val="left" w:pos="1440" w:leader="none"/>
        </w:tabs>
        <w:spacing w:lineRule="auto" w:line="480"/>
        <w:ind w:firstLine="720" w:start="0" w:end="0"/>
        <w:jc w:val="both"/>
        <w:rPr/>
      </w:pPr>
      <w:r>
        <w:rPr>
          <w:u w:val="single"/>
        </w:rPr>
        <w:t>Return of Information</w:t>
      </w:r>
      <w:r>
        <w:rPr/>
        <w:t>.  The Confidential Information, except for that portion of the Confidential Information that may be found in analyses, compilations, studies or other documents prepared by the Receiving Party or its Representatives, will be returned to the Disclosing Party immediately upon the Disclosing Party’s request, and no copies shall be retained by the Receiving Party or its Representatives.  Confidential Information not requested to be returned, as well as that portion of the Confidential Information that may be found in analyses, compilations, studies or other documents prepared by the Receiving Party or its Representatives, shall be destroyed upon request of the Disclosing Party.  Any oral Confidential Information disclosed shall be kept confidential under the terms of this Agreement.</w:t>
      </w:r>
    </w:p>
    <w:p>
      <w:pPr>
        <w:pStyle w:val="BodyText"/>
        <w:numPr>
          <w:ilvl w:val="0"/>
          <w:numId w:val="3"/>
        </w:numPr>
        <w:tabs>
          <w:tab w:val="left" w:pos="720" w:leader="none"/>
          <w:tab w:val="left" w:pos="1440" w:leader="none"/>
        </w:tabs>
        <w:spacing w:lineRule="auto" w:line="480"/>
        <w:ind w:firstLine="720" w:start="0" w:end="0"/>
        <w:jc w:val="both"/>
        <w:rPr/>
      </w:pPr>
      <w:r>
        <w:rPr>
          <w:u w:val="single"/>
        </w:rPr>
        <w:t>No Warranty of Accuracy</w:t>
      </w:r>
      <w:r>
        <w:rPr/>
        <w:t xml:space="preserve">.  Enron and Duke LNG each understands that the other party has endeavored to furnish information it believes to be reliable, but both parties acknowledge that neither party makes any representation or warranty as to the accuracy or completeness of any information which is so provided, and neither party, nor any of their Representatives, shall incur any liability resulting from the use of such information by the other party.  For the purposes of this Section 6, “information” is deemed to include all information (not merely Confidential Information) furnished by the Disclosing Party for the purpose described above.  </w:t>
      </w:r>
    </w:p>
    <w:p>
      <w:pPr>
        <w:pStyle w:val="BodyText"/>
        <w:numPr>
          <w:ilvl w:val="0"/>
          <w:numId w:val="3"/>
        </w:numPr>
        <w:tabs>
          <w:tab w:val="left" w:pos="720" w:leader="none"/>
          <w:tab w:val="left" w:pos="1440" w:leader="none"/>
        </w:tabs>
        <w:spacing w:lineRule="auto" w:line="480"/>
        <w:ind w:firstLine="720" w:start="0" w:end="0"/>
        <w:jc w:val="both"/>
        <w:rPr/>
      </w:pPr>
      <w:r>
        <w:rPr>
          <w:u w:val="single"/>
        </w:rPr>
        <w:t>No Waiver</w:t>
      </w:r>
      <w:r>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BodyText"/>
        <w:numPr>
          <w:ilvl w:val="0"/>
          <w:numId w:val="3"/>
        </w:numPr>
        <w:tabs>
          <w:tab w:val="left" w:pos="720" w:leader="none"/>
          <w:tab w:val="left" w:pos="1440" w:leader="none"/>
        </w:tabs>
        <w:spacing w:lineRule="auto" w:line="480"/>
        <w:ind w:firstLine="720" w:start="0" w:end="0"/>
        <w:jc w:val="both"/>
        <w:rPr/>
      </w:pPr>
      <w:r>
        <w:rPr>
          <w:u w:val="single"/>
        </w:rPr>
        <w:t>Affiliated Companies</w:t>
      </w:r>
      <w:r>
        <w:rPr/>
        <w:t>.  Each party agrees to cause the corporate affiliates which it controls, which control it, or which are under common control with it, through direct or indirect ownership of stock, to be bound hereby as if they were parties to this Agreement.</w:t>
      </w:r>
    </w:p>
    <w:p>
      <w:pPr>
        <w:pStyle w:val="BodyText"/>
        <w:numPr>
          <w:ilvl w:val="0"/>
          <w:numId w:val="3"/>
        </w:numPr>
        <w:tabs>
          <w:tab w:val="left" w:pos="720" w:leader="none"/>
          <w:tab w:val="left" w:pos="1440" w:leader="none"/>
        </w:tabs>
        <w:spacing w:lineRule="auto" w:line="480"/>
        <w:ind w:firstLine="720" w:start="0" w:end="0"/>
        <w:jc w:val="both"/>
        <w:rPr/>
      </w:pPr>
      <w:r>
        <w:rPr>
          <w:u w:val="single"/>
        </w:rPr>
        <w:t>No Letter of Intent</w:t>
      </w:r>
      <w:r>
        <w:rPr/>
        <w:t>.  Nothing contained in this Agreement shall be interpreted as either a contract between the parties with respect to a Potential Acquisition or any joint venture or other united undertaking or a letter of intent regarding any of the foregoing.</w:t>
      </w:r>
    </w:p>
    <w:p>
      <w:pPr>
        <w:pStyle w:val="BodyText"/>
        <w:numPr>
          <w:ilvl w:val="0"/>
          <w:numId w:val="3"/>
        </w:numPr>
        <w:tabs>
          <w:tab w:val="left" w:pos="720" w:leader="none"/>
          <w:tab w:val="left" w:pos="1440" w:leader="none"/>
        </w:tabs>
        <w:spacing w:lineRule="auto" w:line="480"/>
        <w:ind w:firstLine="720" w:start="0" w:end="0"/>
        <w:jc w:val="both"/>
        <w:rPr/>
      </w:pPr>
      <w:r>
        <w:rPr>
          <w:u w:val="single"/>
        </w:rPr>
        <w:t>Remedies, Headings and Governing Law</w:t>
      </w:r>
      <w:r>
        <w:rPr/>
        <w:t>.  Each party agrees that money damages would not be a sufficient remedy for any breach of this Agreement, and that the Disclosing Party shall be entitled to specific performance and injunctive relief as remedies for any such breach.  Such remedies shall not be deemed to be the exclusive remedies for a breach of this Agreement, but shall be in addition to all other remedies available at law or in equity.  Notwithstanding the foregoing, neither party shall be liable for punitive or exemplary damages in tort, contract or otherwise in respect hereof. The headings of the Sections of this Agreement are inserted for convenience only and shall not affect in any way the meaning or interpretation of this Agreement.  This Agreement shall be governed and construed in accordance with the laws of the State of Texas applicable to agreements made and to be performed within the State.</w:t>
      </w:r>
    </w:p>
    <w:p>
      <w:pPr>
        <w:pStyle w:val="BodyText"/>
        <w:numPr>
          <w:ilvl w:val="0"/>
          <w:numId w:val="3"/>
        </w:numPr>
        <w:tabs>
          <w:tab w:val="left" w:pos="720" w:leader="none"/>
          <w:tab w:val="left" w:pos="1440" w:leader="none"/>
        </w:tabs>
        <w:spacing w:lineRule="auto" w:line="480"/>
        <w:ind w:firstLine="720" w:start="0" w:end="0"/>
        <w:jc w:val="both"/>
        <w:rPr/>
      </w:pPr>
      <w:r>
        <w:rPr>
          <w:u w:val="single"/>
        </w:rPr>
        <w:t>Prior Agreements</w:t>
      </w:r>
      <w:r>
        <w:rPr/>
        <w:t>.  This Agreement is the complete and exclusive statement of the matters set forth herein between the parties and supersedes all previous oral and written communications and agreements between the parties relating to the subject matter hereof; provided that the letter agreement dated September 16, 1999 between Sonatrach, Sonatrading, Enron, Citrus and Duke LNG shall remain in full force and effect with respect to Confidential Information provided pursuant thereto.</w:t>
      </w:r>
    </w:p>
    <w:p>
      <w:pPr>
        <w:pStyle w:val="Normal"/>
        <w:suppressAutoHyphens w:val="true"/>
        <w:jc w:val="both"/>
        <w:rPr/>
      </w:pPr>
      <w:r>
        <w:rPr/>
        <w:t>DUKE ENERGY LNG SALES, INC.</w:t>
      </w:r>
    </w:p>
    <w:p>
      <w:pPr>
        <w:pStyle w:val="LetterSignature"/>
        <w:ind w:start="0" w:end="0"/>
        <w:jc w:val="both"/>
        <w:rPr/>
      </w:pPr>
      <w:r>
        <w:rPr/>
      </w:r>
    </w:p>
    <w:p>
      <w:pPr>
        <w:pStyle w:val="Normal"/>
        <w:jc w:val="both"/>
        <w:rPr/>
      </w:pPr>
      <w:r>
        <w:rPr/>
      </w:r>
    </w:p>
    <w:p>
      <w:pPr>
        <w:pStyle w:val="LetterSignature"/>
        <w:tabs>
          <w:tab w:val="left" w:pos="720" w:leader="none"/>
          <w:tab w:val="left" w:pos="5040" w:leader="none"/>
          <w:tab w:val="left" w:pos="5760" w:leader="none"/>
        </w:tabs>
        <w:ind w:start="0" w:end="0"/>
        <w:jc w:val="both"/>
        <w:rPr/>
      </w:pPr>
      <w:r>
        <w:rPr/>
        <w:t>By</w:t>
        <w:tab/>
        <w:t>____________________________</w:t>
        <w:tab/>
        <w:t>Date:</w:t>
        <w:tab/>
        <w:t>________________________</w:t>
      </w:r>
    </w:p>
    <w:p>
      <w:pPr>
        <w:pStyle w:val="LetterSignature"/>
        <w:ind w:firstLine="720" w:start="0" w:end="0"/>
        <w:jc w:val="both"/>
        <w:rPr/>
      </w:pPr>
      <w:r>
        <w:rPr/>
        <w:t>Name: Kevin Howell</w:t>
      </w:r>
    </w:p>
    <w:p>
      <w:pPr>
        <w:pStyle w:val="Normal"/>
        <w:suppressAutoHyphens w:val="true"/>
        <w:ind w:firstLine="720" w:end="0"/>
        <w:jc w:val="both"/>
        <w:rPr/>
      </w:pPr>
      <w:r>
        <w:rPr/>
        <w:t>Title: President &amp; CEO</w:t>
      </w:r>
    </w:p>
    <w:p>
      <w:pPr>
        <w:pStyle w:val="Normal"/>
        <w:suppressAutoHyphens w:val="true"/>
        <w:spacing w:lineRule="auto" w:line="480"/>
        <w:jc w:val="both"/>
        <w:rPr/>
      </w:pPr>
      <w:r>
        <w:rPr/>
      </w:r>
    </w:p>
    <w:p>
      <w:pPr>
        <w:pStyle w:val="LetterSignature"/>
        <w:ind w:start="0" w:end="0"/>
        <w:jc w:val="both"/>
        <w:rPr/>
      </w:pPr>
      <w:r>
        <w:rPr/>
        <w:t>ENRON NORTH AMERICA CORP.</w:t>
      </w:r>
    </w:p>
    <w:p>
      <w:pPr>
        <w:pStyle w:val="Normal"/>
        <w:suppressAutoHyphens w:val="true"/>
        <w:spacing w:lineRule="auto" w:line="480"/>
        <w:jc w:val="both"/>
        <w:rPr/>
      </w:pPr>
      <w:r>
        <w:rPr/>
      </w:r>
    </w:p>
    <w:p>
      <w:pPr>
        <w:pStyle w:val="LetterSignature"/>
        <w:tabs>
          <w:tab w:val="left" w:pos="720" w:leader="none"/>
          <w:tab w:val="left" w:pos="5040" w:leader="none"/>
          <w:tab w:val="left" w:pos="5760" w:leader="none"/>
        </w:tabs>
        <w:ind w:start="0" w:end="0"/>
        <w:jc w:val="both"/>
        <w:rPr/>
      </w:pPr>
      <w:r>
        <w:rPr/>
        <w:t>By:</w:t>
        <w:tab/>
        <w:t>____________________________</w:t>
        <w:tab/>
        <w:t>Date:</w:t>
        <w:tab/>
        <w:t>_________________________</w:t>
      </w:r>
    </w:p>
    <w:p>
      <w:pPr>
        <w:pStyle w:val="LetterSignature"/>
        <w:tabs>
          <w:tab w:val="left" w:pos="720" w:leader="none"/>
          <w:tab w:val="left" w:pos="5760" w:leader="none"/>
        </w:tabs>
        <w:ind w:start="0" w:end="0"/>
        <w:jc w:val="both"/>
        <w:rPr/>
      </w:pPr>
      <w:r>
        <w:rPr/>
        <w:tab/>
        <w:t>Name:</w:t>
      </w:r>
    </w:p>
    <w:p>
      <w:pPr>
        <w:pStyle w:val="LetterSignature"/>
        <w:tabs>
          <w:tab w:val="left" w:pos="720" w:leader="none"/>
          <w:tab w:val="left" w:pos="5760" w:leader="none"/>
        </w:tabs>
        <w:ind w:start="0" w:end="0"/>
        <w:jc w:val="both"/>
        <w:rPr/>
      </w:pPr>
      <w:r>
        <w:rPr/>
        <w:tab/>
        <w:t>Title:</w:t>
      </w:r>
    </w:p>
    <w:p>
      <w:pPr>
        <w:pStyle w:val="LetterSignature"/>
        <w:tabs>
          <w:tab w:val="left" w:pos="720" w:leader="none"/>
          <w:tab w:val="left" w:pos="5760" w:leader="none"/>
        </w:tabs>
        <w:ind w:start="0" w:end="0"/>
        <w:jc w:val="both"/>
        <w:rPr/>
      </w:pPr>
      <w:r>
        <w:rPr/>
      </w:r>
    </w:p>
    <w:p>
      <w:pPr>
        <w:pStyle w:val="LetterSignature"/>
        <w:tabs>
          <w:tab w:val="left" w:pos="720" w:leader="none"/>
          <w:tab w:val="left" w:pos="5760" w:leader="none"/>
        </w:tabs>
        <w:ind w:start="0" w:end="0"/>
        <w:jc w:val="both"/>
        <w:rPr/>
      </w:pPr>
      <w:r>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rsRoman BT">
    <w:charset w:val="00" w:characterSet="windows-1252"/>
    <w:family w:val="roman"/>
    <w:pitch w:val="variable"/>
  </w:font>
  <w:font w:name="Courier New">
    <w:charset w:val="00" w:characterSet="windows-1252"/>
    <w:family w:val="modern"/>
    <w:pitch w:val="default"/>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DC1:464412.1</w:t>
    </w:r>
    <w:r>
      <w:rPr/>
      <w:tab/>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DC1:464412.1</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3">
    <w:lvl w:ilvl="0">
      <w:start w:val="3"/>
      <w:numFmt w:val="decimal"/>
      <w:lvlText w:val="%1."/>
      <w:lvlJc w:val="start"/>
      <w:pPr>
        <w:tabs>
          <w:tab w:val="num" w:pos="1080"/>
        </w:tabs>
        <w:ind w:start="360" w:firstLine="360"/>
      </w:pPr>
      <w:rPr>
        <w:u w:val="none"/>
      </w:rPr>
    </w:lvl>
  </w:abstractNum>
  <w:abstractNum w:abstractNumId="4">
    <w:lvl w:ilvl="0">
      <w:start w:val="1"/>
      <w:numFmt w:val="bullet"/>
      <w:lvlText w:val=""/>
      <w:lvlJc w:val="start"/>
      <w:pPr>
        <w:tabs>
          <w:tab w:val="num" w:pos="1440"/>
        </w:tabs>
        <w:ind w:start="1440" w:hanging="720"/>
      </w:pPr>
      <w:rPr>
        <w:rFonts w:ascii="Symbol" w:hAnsi="Symbol" w:cs="Symbol" w:hint="default"/>
      </w:rPr>
    </w:lvl>
  </w:abstractNum>
  <w:abstractNum w:abstractNumId="5">
    <w:lvl w:ilvl="0">
      <w:start w:val="1"/>
      <w:numFmt w:val="decimal"/>
      <w:lvlText w:val="%1."/>
      <w:lvlJc w:val="start"/>
      <w:pPr>
        <w:tabs>
          <w:tab w:val="num" w:pos="1080"/>
        </w:tabs>
        <w:ind w:start="0" w:firstLine="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97_1" w:val="0603342.09"/>
    <w:docVar w:name="DOCX97_10" w:val="6/29/98 3:15:22 PM"/>
    <w:docVar w:name="DOCX97_11" w:val="46431"/>
    <w:docVar w:name="DOCX97_2" w:val="j:\docs\dcm10679\wp51\0603342.09"/>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YesToC"/>
    <w:docVar w:name="DOCX97_4" w:val="j:\docs\dcm10679\MS_WORD\0603342.09"/>
    <w:docVar w:name="DOCX97_40" w:val="YesBackTabs"/>
    <w:docVar w:name="DOCX97_42" w:val="0Footnotes"/>
    <w:docVar w:name="DOCX97_43" w:val="0Endnotes"/>
    <w:docVar w:name="DOCX97_45" w:val="1"/>
    <w:docVar w:name="DOCX97_46" w:val="1"/>
    <w:docVar w:name="DOCX97_47" w:val="0.66"/>
    <w:docVar w:name="DOCX97_48" w:val="1"/>
    <w:docVar w:name="DOCX97_49" w:val="11"/>
    <w:docVar w:name="DOCX97_5" w:val=" 86421"/>
    <w:docVar w:name="DOCX97_50" w:val="Courier"/>
    <w:docVar w:name="DOCX97_51" w:val="NoDocType"/>
    <w:docVar w:name="DOCX97_52" w:val="Document"/>
    <w:docVar w:name="DOCX97_53" w:val="NoBoxes"/>
    <w:docVar w:name="DOCX97_54" w:val="YesLeading"/>
    <w:docVar w:name="DOCX97_55" w:val="12"/>
    <w:docVar w:name="DOCX97_58" w:val="GoodLabelDoc"/>
    <w:docVar w:name="DOCX97_59" w:val="8.5"/>
    <w:docVar w:name="DOCX97_6" w:val="157,696"/>
    <w:docVar w:name="DOCX97_60" w:val="YesAdvance"/>
    <w:docVar w:name="DOCX97_61" w:val="NoSpacers"/>
    <w:docVar w:name="DOCX97_62" w:val="YesPrivate"/>
    <w:docVar w:name="DOCX97_65" w:val="GoodChars"/>
    <w:docVar w:name="DOCX97_66" w:val="GoodQuotes"/>
    <w:docVar w:name="DOCX97_69" w:val="NoInternational"/>
    <w:docVar w:name="DOCX97_7" w:val="10/13/98 3:11:05 PM"/>
    <w:docVar w:name="DOCX97_8" w:val="10/13/98 3:12:35 PM"/>
    <w:docVar w:name="DOCX97_89" w:val="WordMacrosDone"/>
    <w:docVar w:name="DOCX97_90" w:val="DocX97WPDone"/>
    <w:docVar w:name="DOCX97_91" w:val="OMelveny"/>
    <w:docVar w:name="DOCX97_92" w:val="10/13/98"/>
    <w:docVar w:name="DOCX97_93" w:val="3:13:42 PM"/>
    <w:docVar w:name="iTrailerType" w:val="0"/>
    <w:docVar w:name="zzmpFixedDOC_ID" w:val="DC1:46441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b w:val="false"/>
      <w:i w:val="false"/>
      <w:caps/>
      <w:strike w:val="false"/>
      <w:dstrike w:val="false"/>
      <w:outline w:val="false"/>
      <w:shadow w:val="false"/>
      <w:vanish w:val="false"/>
      <w:color w:val="auto"/>
      <w:position w:val="0"/>
      <w:sz w:val="24"/>
      <w:u w:val="none"/>
      <w:vertAlign w:val="baseline"/>
    </w:rPr>
  </w:style>
  <w:style w:type="character" w:styleId="WW8Num12z1">
    <w:name w:val="WW8Num1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0">
    <w:name w:val="WW8Num13z0"/>
    <w:qFormat/>
    <w:rPr>
      <w:u w:val="none"/>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ParaNum">
    <w:name w:val="ParaNum"/>
    <w:basedOn w:val="DefaultParagraphFont"/>
    <w:qFormat/>
    <w:rPr/>
  </w:style>
  <w:style w:type="character" w:styleId="DocumentTitle">
    <w:name w:val="Document Title"/>
    <w:basedOn w:val="DefaultParagraphFont"/>
    <w:qFormat/>
    <w:rPr>
      <w:b/>
      <w:caps/>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position w:val="0"/>
      <w:sz w:val="16"/>
      <w:sz w:val="16"/>
      <w:u w:val="none"/>
      <w:effect w:val="blinkBackground"/>
      <w:vertAlign w:val="baseline"/>
    </w:rPr>
  </w:style>
  <w:style w:type="paragraph" w:styleId="Heading">
    <w:name w:val="Heading"/>
    <w:basedOn w:val="Normal"/>
    <w:next w:val="BodyText"/>
    <w:qFormat/>
    <w:pPr>
      <w:suppressAutoHyphens w:val="true"/>
      <w:spacing w:lineRule="auto" w:line="480" w:before="0" w:after="240"/>
      <w:jc w:val="center"/>
    </w:pPr>
    <w:rPr>
      <w:b/>
      <w:sz w:val="32"/>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BodyText"/>
    <w:next w:val="BodyText"/>
    <w:pPr>
      <w:spacing w:before="0" w:after="0"/>
      <w:ind w:firstLine="1440" w:start="720" w:end="0"/>
    </w:pPr>
    <w:rPr/>
  </w:style>
  <w:style w:type="paragraph" w:styleId="LHFirmName">
    <w:name w:val="LH Firm Name"/>
    <w:basedOn w:val="Normal"/>
    <w:qFormat/>
    <w:pPr>
      <w:spacing w:before="0" w:after="120"/>
      <w:ind w:hanging="0" w:start="-720" w:end="0"/>
      <w:jc w:val="both"/>
    </w:pPr>
    <w:rPr>
      <w:rFonts w:ascii="EngravrsRoman BT" w:hAnsi="EngravrsRoman BT" w:cs="EngravrsRoman BT"/>
      <w:b/>
      <w:spacing w:val="10"/>
      <w:sz w:val="15"/>
    </w:rPr>
  </w:style>
  <w:style w:type="paragraph" w:styleId="BodyTextContinued">
    <w:name w:val="Body Text Continued"/>
    <w:basedOn w:val="BodyText"/>
    <w:next w:val="BodyText"/>
    <w:qFormat/>
    <w:pPr/>
    <w:rPr/>
  </w:style>
  <w:style w:type="paragraph" w:styleId="FootnoteText">
    <w:name w:val="footnote text"/>
    <w:basedOn w:val="Normal"/>
    <w:pPr>
      <w:keepLines/>
      <w:spacing w:lineRule="exact" w:line="240"/>
    </w:pPr>
    <w:rPr>
      <w:sz w:val="20"/>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keepLines/>
      <w:widowControl w:val="false"/>
      <w:tabs>
        <w:tab w:val="clear" w:pos="720"/>
        <w:tab w:val="right" w:pos="9216" w:leader="dot"/>
      </w:tabs>
      <w:spacing w:before="0" w:after="240"/>
      <w:ind w:hanging="720" w:start="720" w:end="1440"/>
    </w:pPr>
    <w:rPr/>
  </w:style>
  <w:style w:type="paragraph" w:styleId="TOAHeading">
    <w:name w:val="TOA Heading"/>
    <w:basedOn w:val="Normal"/>
    <w:next w:val="TableofAuthorities"/>
    <w:qFormat/>
    <w:pPr>
      <w:keepNext w:val="true"/>
      <w:widowControl w:val="false"/>
      <w:spacing w:before="0" w:after="24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SDP">
    <w:name w:val="SDP"/>
    <w:basedOn w:val="Normal"/>
    <w:next w:val="Normal"/>
    <w:qFormat/>
    <w:pPr>
      <w:spacing w:before="0" w:after="240"/>
    </w:pPr>
    <w:rPr>
      <w:b/>
      <w:small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NoIndent">
    <w:name w:val="Body Text No Indent"/>
    <w:basedOn w:val="BodyText"/>
    <w:next w:val="BodyText"/>
    <w:qFormat/>
    <w:pPr>
      <w:widowControl/>
      <w:spacing w:lineRule="auto" w:line="480" w:before="240" w:after="240"/>
      <w:ind w:hanging="0" w:start="0" w:end="0"/>
      <w:jc w:val="start"/>
    </w:pPr>
    <w:rPr/>
  </w:style>
  <w:style w:type="paragraph" w:styleId="DocX97Comment">
    <w:name w:val="DocX97Comment"/>
    <w:basedOn w:val="Normal"/>
    <w:qFormat/>
    <w:pPr/>
    <w:rPr>
      <w:rFonts w:ascii="Century Schoolbook" w:hAnsi="Century Schoolbook" w:cs="Century Schoolbook"/>
      <w:b/>
      <w:i/>
      <w:color w:val="FF0000"/>
      <w:sz w:val="16"/>
    </w:rPr>
  </w:style>
  <w:style w:type="paragraph" w:styleId="ListBullet">
    <w:name w:val="List Bullet"/>
    <w:basedOn w:val="Normal"/>
    <w:qFormat/>
    <w:pPr>
      <w:numPr>
        <w:ilvl w:val="0"/>
        <w:numId w:val="4"/>
      </w:numPr>
      <w:spacing w:before="0" w:after="240"/>
    </w:pPr>
    <w:rPr/>
  </w:style>
  <w:style w:type="paragraph" w:styleId="zzmpSDP">
    <w:name w:val="zzmpSDP"/>
    <w:basedOn w:val="Normal"/>
    <w:qFormat/>
    <w:pPr>
      <w:spacing w:before="0" w:after="240"/>
    </w:pPr>
    <w:rPr>
      <w:b/>
      <w:caps/>
    </w:rPr>
  </w:style>
  <w:style w:type="paragraph" w:styleId="LetterSignature">
    <w:name w:val="Letter Signature"/>
    <w:basedOn w:val="Normal"/>
    <w:qFormat/>
    <w:pPr>
      <w:keepNext w:val="true"/>
      <w:keepLines/>
      <w:ind w:hanging="0" w:start="4320" w:end="0"/>
    </w:pPr>
    <w:rPr/>
  </w:style>
  <w:style w:type="paragraph" w:styleId="Heading1Para">
    <w:name w:val="Heading1Para"/>
    <w:basedOn w:val="BodyText"/>
    <w:next w:val="BodyText"/>
    <w:qFormat/>
    <w:pPr>
      <w:jc w:val="center"/>
    </w:pPr>
    <w:rPr/>
  </w:style>
  <w:style w:type="paragraph" w:styleId="Heading2Para">
    <w:name w:val="Heading2Para"/>
    <w:basedOn w:val="BodyText"/>
    <w:next w:val="BodyText"/>
    <w:qFormat/>
    <w:pPr/>
    <w:rPr/>
  </w:style>
  <w:style w:type="paragraph" w:styleId="Heading3Para">
    <w:name w:val="Heading3Para"/>
    <w:basedOn w:val="BodyText"/>
    <w:next w:val="BodyText"/>
    <w:qFormat/>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ReLine">
    <w:name w:val="ReLine"/>
    <w:basedOn w:val="Normal"/>
    <w:next w:val="ReLineCont"/>
    <w:qFormat/>
    <w:pPr>
      <w:spacing w:before="120" w:after="0"/>
      <w:ind w:hanging="0" w:start="0" w:end="216"/>
    </w:pPr>
    <w:rPr/>
  </w:style>
  <w:style w:type="paragraph" w:styleId="ReLineCont">
    <w:name w:val="ReLineCont"/>
    <w:basedOn w:val="ReLine"/>
    <w:qFormat/>
    <w:pPr>
      <w:spacing w:before="0" w:after="0"/>
    </w:pPr>
    <w:rPr/>
  </w:style>
  <w:style w:type="paragraph" w:styleId="MemoDate">
    <w:name w:val="Memo Date"/>
    <w:basedOn w:val="Normal"/>
    <w:next w:val="Normal"/>
    <w:qFormat/>
    <w:pPr/>
    <w:rPr/>
  </w:style>
  <w:style w:type="paragraph" w:styleId="BusinessSignature">
    <w:name w:val="Business Signature"/>
    <w:basedOn w:val="Normal"/>
    <w:qFormat/>
    <w:pPr>
      <w:tabs>
        <w:tab w:val="left" w:pos="720" w:leader="none"/>
        <w:tab w:val="right" w:pos="4320" w:leader="none"/>
      </w:tabs>
    </w:pPr>
    <w:rPr/>
  </w:style>
  <w:style w:type="paragraph" w:styleId="BlockText">
    <w:name w:val="Block Text"/>
    <w:basedOn w:val="Normal"/>
    <w:qFormat/>
    <w:pPr>
      <w:spacing w:before="0" w:after="120"/>
      <w:ind w:hanging="0" w:start="1440" w:end="1440"/>
    </w:pPr>
    <w:rPr/>
  </w:style>
  <w:style w:type="paragraph" w:styleId="Outline2L1">
    <w:name w:val="Outline2_L1"/>
    <w:basedOn w:val="Normal"/>
    <w:next w:val="Normal"/>
    <w:qFormat/>
    <w:pPr>
      <w:numPr>
        <w:ilvl w:val="0"/>
        <w:numId w:val="2"/>
      </w:numPr>
      <w:spacing w:before="0" w:after="240"/>
      <w:outlineLvl w:val="0"/>
    </w:pPr>
    <w:rPr/>
  </w:style>
  <w:style w:type="paragraph" w:styleId="Outline2L2">
    <w:name w:val="Outline2_L2"/>
    <w:basedOn w:val="Outline2L1"/>
    <w:next w:val="Normal"/>
    <w:qFormat/>
    <w:pPr>
      <w:numPr>
        <w:ilvl w:val="0"/>
        <w:numId w:val="2"/>
      </w:numPr>
      <w:tabs>
        <w:tab w:val="clear" w:pos="720"/>
        <w:tab w:val="left" w:pos="360" w:leader="none"/>
      </w:tabs>
      <w:outlineLvl w:val="1"/>
    </w:pPr>
    <w:rPr/>
  </w:style>
  <w:style w:type="paragraph" w:styleId="Outline2L3">
    <w:name w:val="Outline2_L3"/>
    <w:basedOn w:val="Outline2L2"/>
    <w:next w:val="Normal"/>
    <w:qFormat/>
    <w:pPr>
      <w:numPr>
        <w:ilvl w:val="0"/>
        <w:numId w:val="2"/>
      </w:numPr>
      <w:outlineLvl w:val="2"/>
    </w:pPr>
    <w:rPr/>
  </w:style>
  <w:style w:type="paragraph" w:styleId="Outline2L4">
    <w:name w:val="Outline2_L4"/>
    <w:basedOn w:val="Outline2L3"/>
    <w:next w:val="Normal"/>
    <w:qFormat/>
    <w:pPr>
      <w:numPr>
        <w:ilvl w:val="0"/>
        <w:numId w:val="2"/>
      </w:numPr>
      <w:outlineLvl w:val="3"/>
    </w:pPr>
    <w:rPr/>
  </w:style>
  <w:style w:type="paragraph" w:styleId="Outline2L5">
    <w:name w:val="Outline2_L5"/>
    <w:basedOn w:val="Outline2L4"/>
    <w:next w:val="Normal"/>
    <w:qFormat/>
    <w:pPr>
      <w:numPr>
        <w:ilvl w:val="0"/>
        <w:numId w:val="2"/>
      </w:numPr>
      <w:outlineLvl w:val="4"/>
    </w:pPr>
    <w:rPr/>
  </w:style>
  <w:style w:type="paragraph" w:styleId="Outline2L6">
    <w:name w:val="Outline2_L6"/>
    <w:basedOn w:val="Outline2L5"/>
    <w:next w:val="Normal"/>
    <w:qFormat/>
    <w:pPr>
      <w:numPr>
        <w:ilvl w:val="0"/>
        <w:numId w:val="2"/>
      </w:numPr>
      <w:outlineLvl w:val="5"/>
    </w:pPr>
    <w:rPr/>
  </w:style>
  <w:style w:type="paragraph" w:styleId="Outline2L7">
    <w:name w:val="Outline2_L7"/>
    <w:basedOn w:val="Outline2L6"/>
    <w:next w:val="Normal"/>
    <w:qFormat/>
    <w:pPr>
      <w:numPr>
        <w:ilvl w:val="0"/>
        <w:numId w:val="2"/>
      </w:numPr>
      <w:outlineLvl w:val="6"/>
    </w:pPr>
    <w:rPr/>
  </w:style>
  <w:style w:type="paragraph" w:styleId="Outline2L8">
    <w:name w:val="Outline2_L8"/>
    <w:basedOn w:val="Outline2L7"/>
    <w:next w:val="Normal"/>
    <w:qFormat/>
    <w:pPr>
      <w:numPr>
        <w:ilvl w:val="0"/>
        <w:numId w:val="2"/>
      </w:numPr>
      <w:outlineLvl w:val="7"/>
    </w:pPr>
    <w:rPr/>
  </w:style>
  <w:style w:type="paragraph" w:styleId="Outline2L9">
    <w:name w:val="Outline2_L9"/>
    <w:basedOn w:val="Outline2L8"/>
    <w:next w:val="Normal"/>
    <w:qFormat/>
    <w:pPr>
      <w:numPr>
        <w:ilvl w:val="0"/>
        <w:numId w:val="2"/>
      </w:numPr>
      <w:outlineLvl w:val="8"/>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2001-04-04T14:03:00Z</dcterms:created>
  <dc:creator>Win95 user</dc:creator>
  <dc:description/>
  <dc:language>en-CA</dc:language>
  <cp:lastModifiedBy>New User</cp:lastModifiedBy>
  <cp:lastPrinted>2001-04-05T16:09:00Z</cp:lastPrinted>
  <dcterms:modified xsi:type="dcterms:W3CDTF">2001-04-05T18:51:00Z</dcterms:modified>
  <cp:revision>9</cp:revision>
  <dc:subject/>
  <dc:title>Word 8.0 Generic Normal Template, rev. 4/1/97, The Legal MacPac</dc:title>
</cp:coreProperties>
</file>