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360" w:end="0"/>
        <w:jc w:val="center"/>
        <w:rPr/>
      </w:pPr>
      <w:r>
        <w:rPr/>
        <w:t>Alternate Electric Power Data Confidentiality Policy</w:t>
      </w:r>
    </w:p>
    <w:p>
      <w:pPr>
        <w:pStyle w:val="Normal"/>
        <w:ind w:start="360" w:end="0"/>
        <w:rPr/>
      </w:pPr>
      <w:r>
        <w:rPr/>
      </w:r>
    </w:p>
    <w:p>
      <w:pPr>
        <w:pStyle w:val="Normal"/>
        <w:ind w:start="360" w:end="0"/>
        <w:rPr/>
      </w:pPr>
      <w:r>
        <w:rPr/>
        <w:t>The list below is a summary of the elements that EIA proposed on March 13, 2001, would be held confidential beginning in January 2002.  Taking the many comments that have been received on this proposal, an alternate option has been developed in an attempt to accommodate as many of the stated concerns as possible.  Below, the items that are not lined through are of a higher priority for confidentiality than the other items originally marked for confidentiality and would not be released.  Monthly data would be released not earlier than six months after the end of the reporting year, only with all months aggregated to an annual total.  The annual collected data also would be released not earlier than six months after the end of the reporting year.</w:t>
      </w:r>
    </w:p>
    <w:p>
      <w:pPr>
        <w:pStyle w:val="Normal"/>
        <w:ind w:start="720" w:end="0"/>
        <w:rPr/>
      </w:pPr>
      <w:r>
        <w:rPr/>
      </w:r>
    </w:p>
    <w:p>
      <w:pPr>
        <w:pStyle w:val="Normal"/>
        <w:numPr>
          <w:ilvl w:val="0"/>
          <w:numId w:val="1"/>
        </w:numPr>
        <w:rPr>
          <w:b/>
          <w:bCs/>
        </w:rPr>
      </w:pPr>
      <w:r>
        <w:rPr>
          <w:b/>
          <w:bCs/>
        </w:rPr>
        <w:t>Form EIA-411 - "Coordinated Bulk Power Supply Program Report"</w:t>
      </w:r>
    </w:p>
    <w:p>
      <w:pPr>
        <w:pStyle w:val="Normal"/>
        <w:rPr>
          <w:b/>
          <w:bCs/>
        </w:rPr>
      </w:pPr>
      <w:r>
        <w:rPr>
          <w:b/>
          <w:bCs/>
        </w:rPr>
      </w:r>
    </w:p>
    <w:p>
      <w:pPr>
        <w:pStyle w:val="Normal"/>
        <w:ind w:start="720" w:end="0"/>
        <w:rPr>
          <w:strike/>
        </w:rPr>
      </w:pPr>
      <w:r>
        <w:rPr>
          <w:strike/>
        </w:rPr>
        <w:t>Schedule 1 – Forecast peak demand and net energy</w:t>
      </w:r>
    </w:p>
    <w:p>
      <w:pPr>
        <w:pStyle w:val="Normal"/>
        <w:ind w:start="720" w:end="0"/>
        <w:rPr>
          <w:strike/>
        </w:rPr>
      </w:pPr>
      <w:r>
        <w:rPr>
          <w:strike/>
        </w:rPr>
        <w:t>Schedule 2 – Forecast demand</w:t>
      </w:r>
    </w:p>
    <w:p>
      <w:pPr>
        <w:pStyle w:val="Normal"/>
        <w:ind w:start="720" w:end="0"/>
        <w:rPr>
          <w:strike/>
        </w:rPr>
      </w:pPr>
      <w:r>
        <w:rPr>
          <w:strike/>
        </w:rPr>
        <w:t>Schedule 3 – Projected plant statistics</w:t>
      </w:r>
    </w:p>
    <w:p>
      <w:pPr>
        <w:pStyle w:val="Normal"/>
        <w:ind w:start="720" w:end="0"/>
        <w:rPr>
          <w:strike/>
        </w:rPr>
      </w:pPr>
      <w:r>
        <w:rPr>
          <w:strike/>
        </w:rPr>
        <w:t>Schedule 4 – Projected capacity purchases and sales</w:t>
      </w:r>
    </w:p>
    <w:p>
      <w:pPr>
        <w:pStyle w:val="Normal"/>
        <w:ind w:start="720" w:end="0"/>
        <w:rPr>
          <w:strike/>
        </w:rPr>
      </w:pPr>
      <w:r>
        <w:rPr>
          <w:strike/>
        </w:rPr>
        <w:t>Schedule 6 – Transmission data</w:t>
      </w:r>
    </w:p>
    <w:p>
      <w:pPr>
        <w:pStyle w:val="Normal"/>
        <w:ind w:start="720" w:end="0"/>
        <w:rPr>
          <w:strike/>
        </w:rPr>
      </w:pPr>
      <w:r>
        <w:rPr>
          <w:strike/>
        </w:rPr>
        <w:t>Schedule 7 – Related footnotes</w:t>
      </w:r>
    </w:p>
    <w:p>
      <w:pPr>
        <w:pStyle w:val="Normal"/>
        <w:ind w:start="720" w:end="0"/>
        <w:rPr/>
      </w:pPr>
      <w:r>
        <w:rPr/>
      </w:r>
    </w:p>
    <w:p>
      <w:pPr>
        <w:pStyle w:val="Normal"/>
        <w:numPr>
          <w:ilvl w:val="0"/>
          <w:numId w:val="1"/>
        </w:numPr>
        <w:rPr>
          <w:b/>
          <w:bCs/>
        </w:rPr>
      </w:pPr>
      <w:r>
        <w:rPr>
          <w:b/>
          <w:bCs/>
        </w:rPr>
        <w:t>Form EIA-412 - "Annual Electric Industry Financial Report"</w:t>
      </w:r>
    </w:p>
    <w:p>
      <w:pPr>
        <w:pStyle w:val="Normal"/>
        <w:rPr>
          <w:b/>
          <w:bCs/>
        </w:rPr>
      </w:pPr>
      <w:r>
        <w:rPr>
          <w:b/>
          <w:bCs/>
        </w:rPr>
      </w:r>
    </w:p>
    <w:p>
      <w:pPr>
        <w:pStyle w:val="Normal"/>
        <w:ind w:start="720" w:end="0"/>
        <w:rPr>
          <w:strike/>
        </w:rPr>
      </w:pPr>
      <w:r>
        <w:rPr>
          <w:strike/>
        </w:rPr>
        <w:t>Schedule 7 – Sales for resale, all data except line 36 total</w:t>
      </w:r>
    </w:p>
    <w:p>
      <w:pPr>
        <w:pStyle w:val="Normal"/>
        <w:ind w:start="720" w:end="0"/>
        <w:rPr>
          <w:strike/>
        </w:rPr>
      </w:pPr>
      <w:r>
        <w:rPr>
          <w:strike/>
        </w:rPr>
        <w:t>Schedule 9 – Purchased power, all data except line 36 total</w:t>
      </w:r>
    </w:p>
    <w:p>
      <w:pPr>
        <w:pStyle w:val="Normal"/>
        <w:ind w:start="720" w:end="0"/>
        <w:rPr/>
      </w:pPr>
      <w:r>
        <w:rPr/>
        <w:t xml:space="preserve">Schedule 10, lines 9-32 – Generation plant data cost and expenses </w:t>
      </w:r>
    </w:p>
    <w:p>
      <w:pPr>
        <w:pStyle w:val="Normal"/>
        <w:ind w:start="720" w:end="0"/>
        <w:rPr/>
      </w:pPr>
      <w:r>
        <w:rPr/>
      </w:r>
    </w:p>
    <w:p>
      <w:pPr>
        <w:pStyle w:val="Normal"/>
        <w:numPr>
          <w:ilvl w:val="0"/>
          <w:numId w:val="1"/>
        </w:numPr>
        <w:rPr>
          <w:b/>
          <w:bCs/>
        </w:rPr>
      </w:pPr>
      <w:r>
        <w:rPr>
          <w:b/>
          <w:bCs/>
        </w:rPr>
        <w:t>Form EIA-423 – "Cost and Quality of Fuels for Electric Plants"</w:t>
      </w:r>
    </w:p>
    <w:p>
      <w:pPr>
        <w:pStyle w:val="Normal"/>
        <w:rPr>
          <w:b/>
          <w:bCs/>
        </w:rPr>
      </w:pPr>
      <w:r>
        <w:rPr>
          <w:b/>
          <w:bCs/>
        </w:rPr>
      </w:r>
    </w:p>
    <w:p>
      <w:pPr>
        <w:pStyle w:val="Normal"/>
        <w:ind w:start="720" w:end="0"/>
        <w:rPr>
          <w:strike/>
        </w:rPr>
      </w:pPr>
      <w:r>
        <w:rPr>
          <w:strike/>
        </w:rPr>
        <w:t>Columns a-j – Purchase type, fuel type, coal mine data, quantity received,</w:t>
      </w:r>
    </w:p>
    <w:p>
      <w:pPr>
        <w:pStyle w:val="Normal"/>
        <w:ind w:start="720" w:end="0"/>
        <w:rPr/>
      </w:pPr>
      <w:r>
        <w:rPr>
          <w:strike/>
        </w:rPr>
        <w:t>BTU content, sulfur content, ash content</w:t>
      </w:r>
      <w:r>
        <w:rPr/>
        <w:t>, purchase price</w:t>
      </w:r>
    </w:p>
    <w:p>
      <w:pPr>
        <w:pStyle w:val="Normal"/>
        <w:ind w:start="360" w:end="0"/>
        <w:rPr/>
      </w:pPr>
      <w:r>
        <w:rPr/>
      </w:r>
    </w:p>
    <w:p>
      <w:pPr>
        <w:pStyle w:val="Normal"/>
        <w:numPr>
          <w:ilvl w:val="0"/>
          <w:numId w:val="1"/>
        </w:numPr>
        <w:rPr>
          <w:b/>
          <w:bCs/>
        </w:rPr>
      </w:pPr>
      <w:r>
        <w:rPr>
          <w:b/>
          <w:bCs/>
        </w:rPr>
        <w:t xml:space="preserve">Form EIA-767 – </w:t>
      </w:r>
      <w:r>
        <w:rPr>
          <w:b/>
          <w:bCs/>
          <w:color w:val="000000"/>
        </w:rPr>
        <w:t>"</w:t>
      </w:r>
      <w:r>
        <w:rPr>
          <w:rFonts w:cs="Arial"/>
          <w:b/>
          <w:bCs/>
          <w:color w:val="000000"/>
          <w:szCs w:val="20"/>
        </w:rPr>
        <w:t>Steam-Electric Plant Operation and Design</w:t>
      </w:r>
      <w:r>
        <w:rPr>
          <w:rFonts w:cs="Arial" w:ascii="Arial" w:hAnsi="Arial"/>
          <w:b/>
          <w:bCs/>
          <w:color w:val="0000A0"/>
          <w:sz w:val="20"/>
          <w:szCs w:val="20"/>
        </w:rPr>
        <w:t xml:space="preserve"> </w:t>
      </w:r>
      <w:r>
        <w:rPr>
          <w:b/>
          <w:bCs/>
        </w:rPr>
        <w:t>Report"</w:t>
      </w:r>
    </w:p>
    <w:p>
      <w:pPr>
        <w:pStyle w:val="Normal"/>
        <w:ind w:start="720" w:end="0"/>
        <w:jc w:val="both"/>
        <w:rPr>
          <w:b/>
          <w:bCs/>
        </w:rPr>
      </w:pPr>
      <w:r>
        <w:rPr>
          <w:b/>
          <w:bCs/>
        </w:rPr>
      </w:r>
    </w:p>
    <w:p>
      <w:pPr>
        <w:pStyle w:val="Normal"/>
        <w:ind w:firstLine="720" w:end="0"/>
        <w:rPr>
          <w:strike/>
        </w:rPr>
      </w:pPr>
      <w:r>
        <w:rPr>
          <w:strike/>
        </w:rPr>
        <w:t>All planned plant information</w:t>
      </w:r>
    </w:p>
    <w:p>
      <w:pPr>
        <w:pStyle w:val="Normal"/>
        <w:rPr/>
      </w:pPr>
      <w:r>
        <w:rPr/>
        <w:tab/>
        <w:t>Schedule 2, part A, lines 7-8 – Estimated useful thermal output</w:t>
      </w:r>
    </w:p>
    <w:p>
      <w:pPr>
        <w:pStyle w:val="Normal"/>
        <w:rPr/>
      </w:pPr>
      <w:r>
        <w:rPr/>
        <w:tab/>
        <w:t>Schedule 2, part B - Plant financial information (capital, O&amp;M, byproducts)</w:t>
      </w:r>
    </w:p>
    <w:p>
      <w:pPr>
        <w:pStyle w:val="Normal"/>
        <w:rPr/>
      </w:pPr>
      <w:r>
        <w:rPr/>
        <w:tab/>
      </w:r>
      <w:r>
        <w:rPr>
          <w:strike/>
        </w:rPr>
        <w:t>Schedule 4, part A, lines 2-29 – Fuel consumption and quality</w:t>
      </w:r>
    </w:p>
    <w:p>
      <w:pPr>
        <w:pStyle w:val="Normal"/>
        <w:rPr/>
      </w:pPr>
      <w:r>
        <w:rPr/>
        <w:t xml:space="preserve">       </w:t>
      </w:r>
      <w:r>
        <w:rPr/>
        <w:tab/>
      </w:r>
      <w:r>
        <w:rPr>
          <w:strike/>
        </w:rPr>
        <w:t>Schedule 4, part B, lines 7-8, 9 (if planned) – Emission compliance dates/ plans</w:t>
      </w:r>
    </w:p>
    <w:p>
      <w:pPr>
        <w:pStyle w:val="Normal"/>
        <w:rPr/>
      </w:pPr>
      <w:r>
        <w:rPr/>
        <w:tab/>
      </w:r>
      <w:r>
        <w:rPr>
          <w:strike/>
        </w:rPr>
        <w:t>Schedule 4, part C, lines 2-3 – Projected service/ retirement dates</w:t>
      </w:r>
    </w:p>
    <w:p>
      <w:pPr>
        <w:pStyle w:val="BodyTextIndent"/>
        <w:jc w:val="start"/>
        <w:rPr>
          <w:strike/>
        </w:rPr>
      </w:pPr>
      <w:r>
        <w:rPr>
          <w:strike/>
        </w:rPr>
        <w:t>Schedule 4, part C, lines 6-10, 12-21 – Boiler information other than manufacturer, type, waste heat input rate</w:t>
      </w:r>
    </w:p>
    <w:p>
      <w:pPr>
        <w:pStyle w:val="BodyTextIndent"/>
        <w:jc w:val="start"/>
        <w:rPr>
          <w:strike/>
        </w:rPr>
      </w:pPr>
      <w:r>
        <w:rPr>
          <w:strike/>
        </w:rPr>
        <w:t>Schedule 6, part B, lines 2,3,7,8,11 (projected only) – Projected cooling system service/ retirement dates</w:t>
      </w:r>
    </w:p>
    <w:p>
      <w:pPr>
        <w:pStyle w:val="Normal"/>
        <w:rPr/>
      </w:pPr>
      <w:r>
        <w:rPr/>
        <w:tab/>
        <w:t xml:space="preserve">Schedule 6, part B, lines 15-18 – Cooling system costs </w:t>
      </w:r>
    </w:p>
    <w:p>
      <w:pPr>
        <w:pStyle w:val="Normal"/>
        <w:rPr/>
      </w:pPr>
      <w:r>
        <w:rPr/>
        <w:tab/>
      </w:r>
      <w:r>
        <w:rPr>
          <w:strike/>
        </w:rPr>
        <w:t>Schedule 7, line 2 (projected only) – Projected flue gas collector service date</w:t>
      </w:r>
    </w:p>
    <w:p>
      <w:pPr>
        <w:pStyle w:val="Normal"/>
        <w:rPr/>
      </w:pPr>
      <w:r>
        <w:rPr/>
        <w:tab/>
        <w:t xml:space="preserve">Schedule 7, lines 5, 11-15 – Collector cost </w:t>
      </w:r>
      <w:r>
        <w:rPr>
          <w:strike/>
        </w:rPr>
        <w:t>and design fuel specifications</w:t>
      </w:r>
    </w:p>
    <w:p>
      <w:pPr>
        <w:pStyle w:val="Normal"/>
        <w:rPr/>
      </w:pPr>
      <w:r>
        <w:rPr/>
        <w:tab/>
        <w:t>Schedule 8, part A, lines 10-13 – Flue gas desulfurization O+M costs</w:t>
      </w:r>
    </w:p>
    <w:p>
      <w:pPr>
        <w:pStyle w:val="Normal"/>
        <w:rPr/>
      </w:pPr>
      <w:r>
        <w:rPr/>
        <w:tab/>
      </w:r>
      <w:r>
        <w:rPr>
          <w:strike/>
        </w:rPr>
        <w:t>Schedule 8, part B, line 2 (projected only) – Projected FGD service dates</w:t>
      </w:r>
    </w:p>
    <w:p>
      <w:pPr>
        <w:pStyle w:val="Normal"/>
        <w:ind w:firstLine="720" w:end="0"/>
        <w:rPr/>
      </w:pPr>
      <w:r>
        <w:rPr/>
        <w:t xml:space="preserve">Schedule 8, part B, lines 5,11,12,19-22 – FGD design </w:t>
      </w:r>
      <w:r>
        <w:rPr>
          <w:strike/>
        </w:rPr>
        <w:t>specifications +</w:t>
      </w:r>
      <w:r>
        <w:rPr/>
        <w:t xml:space="preserve"> costs</w:t>
      </w:r>
    </w:p>
    <w:p>
      <w:pPr>
        <w:pStyle w:val="Normal"/>
        <w:rPr/>
      </w:pPr>
      <w:r>
        <w:rPr/>
        <w:tab/>
      </w:r>
      <w:r>
        <w:rPr>
          <w:strike/>
        </w:rPr>
        <w:t>Schedule 9, line 3 (projected only) – Projected flue/ stack service dates</w:t>
      </w:r>
    </w:p>
    <w:p>
      <w:pPr>
        <w:pStyle w:val="Normal"/>
        <w:rPr/>
      </w:pPr>
      <w:r>
        <w:rPr/>
        <w:tab/>
        <w:t>Schedule 10 – Related footnotes</w:t>
      </w:r>
    </w:p>
    <w:p>
      <w:pPr>
        <w:pStyle w:val="Normal"/>
        <w:rPr/>
      </w:pPr>
      <w:r>
        <w:rPr/>
      </w:r>
    </w:p>
    <w:p>
      <w:pPr>
        <w:pStyle w:val="Normal"/>
        <w:numPr>
          <w:ilvl w:val="0"/>
          <w:numId w:val="1"/>
        </w:numPr>
        <w:rPr/>
      </w:pPr>
      <w:r>
        <w:rPr>
          <w:b/>
          <w:bCs/>
        </w:rPr>
        <w:t>Form EIA-826 – "Monthly Electric Sales and Revenue Report with State</w:t>
      </w:r>
      <w:r>
        <w:rPr/>
        <w:t xml:space="preserve"> Distributions"</w:t>
      </w:r>
    </w:p>
    <w:p>
      <w:pPr>
        <w:pStyle w:val="Normal"/>
        <w:rPr/>
      </w:pPr>
      <w:r>
        <w:rPr/>
      </w:r>
    </w:p>
    <w:p>
      <w:pPr>
        <w:pStyle w:val="Normal"/>
        <w:ind w:start="720" w:end="0"/>
        <w:rPr/>
      </w:pPr>
      <w:r>
        <w:rPr/>
        <w:t>Unbundled energy sales revenue, MWhs, numbers of customers, but released as EIA-861 annual data</w:t>
      </w:r>
    </w:p>
    <w:p>
      <w:pPr>
        <w:pStyle w:val="Normal"/>
        <w:rPr/>
      </w:pPr>
      <w:r>
        <w:rPr/>
      </w:r>
    </w:p>
    <w:p>
      <w:pPr>
        <w:pStyle w:val="Normal"/>
        <w:numPr>
          <w:ilvl w:val="0"/>
          <w:numId w:val="1"/>
        </w:numPr>
        <w:rPr>
          <w:b/>
          <w:bCs/>
        </w:rPr>
      </w:pPr>
      <w:r>
        <w:rPr>
          <w:b/>
          <w:bCs/>
        </w:rPr>
        <w:t>Form EIA-860 – "Annual Electric Generator Report"</w:t>
      </w:r>
    </w:p>
    <w:p>
      <w:pPr>
        <w:pStyle w:val="Normal"/>
        <w:rPr>
          <w:b/>
          <w:bCs/>
        </w:rPr>
      </w:pPr>
      <w:r>
        <w:rPr>
          <w:b/>
          <w:bCs/>
        </w:rPr>
      </w:r>
    </w:p>
    <w:p>
      <w:pPr>
        <w:pStyle w:val="Normal"/>
        <w:ind w:start="720" w:end="0"/>
        <w:rPr>
          <w:strike/>
        </w:rPr>
      </w:pPr>
      <w:r>
        <w:rPr>
          <w:strike/>
        </w:rPr>
        <w:t>Schedule 2 – Planned plant data</w:t>
      </w:r>
    </w:p>
    <w:p>
      <w:pPr>
        <w:pStyle w:val="Normal"/>
        <w:ind w:start="720" w:end="0"/>
        <w:rPr/>
      </w:pPr>
      <w:r>
        <w:rPr/>
        <w:t>Schedule 3, Part B, line 6 – Heat rates</w:t>
      </w:r>
    </w:p>
    <w:p>
      <w:pPr>
        <w:pStyle w:val="Normal"/>
        <w:ind w:start="720" w:end="0"/>
        <w:rPr>
          <w:strike/>
        </w:rPr>
      </w:pPr>
      <w:r>
        <w:rPr>
          <w:strike/>
        </w:rPr>
        <w:t>Schedule 3, Part C – Proposed generators and changes</w:t>
      </w:r>
    </w:p>
    <w:p>
      <w:pPr>
        <w:pStyle w:val="Normal"/>
        <w:ind w:start="720" w:end="0"/>
        <w:rPr>
          <w:strike/>
        </w:rPr>
      </w:pPr>
      <w:r>
        <w:rPr>
          <w:strike/>
        </w:rPr>
      </w:r>
    </w:p>
    <w:p>
      <w:pPr>
        <w:pStyle w:val="Normal"/>
        <w:keepLines/>
        <w:numPr>
          <w:ilvl w:val="0"/>
          <w:numId w:val="1"/>
        </w:numPr>
        <w:rPr>
          <w:b/>
          <w:bCs/>
        </w:rPr>
      </w:pPr>
      <w:r>
        <w:rPr>
          <w:b/>
          <w:bCs/>
        </w:rPr>
        <w:t>Form EIA-861 – "Annual Electric Power Industry Report"</w:t>
      </w:r>
    </w:p>
    <w:p>
      <w:pPr>
        <w:pStyle w:val="Normal"/>
        <w:keepLines/>
        <w:rPr>
          <w:b/>
          <w:bCs/>
        </w:rPr>
      </w:pPr>
      <w:r>
        <w:rPr>
          <w:b/>
          <w:bCs/>
        </w:rPr>
      </w:r>
    </w:p>
    <w:p>
      <w:pPr>
        <w:pStyle w:val="Normal"/>
        <w:keepLines/>
        <w:ind w:start="720" w:end="0"/>
        <w:rPr>
          <w:strike/>
        </w:rPr>
      </w:pPr>
      <w:r>
        <w:rPr>
          <w:strike/>
        </w:rPr>
        <w:t>Schedule 2, Part B – Energy source and disposition information for unbundled retail energy service providers only</w:t>
      </w:r>
    </w:p>
    <w:p>
      <w:pPr>
        <w:pStyle w:val="BodyTextIndent"/>
        <w:keepLines/>
        <w:jc w:val="start"/>
        <w:rPr>
          <w:strike/>
        </w:rPr>
      </w:pPr>
      <w:r>
        <w:rPr>
          <w:strike/>
        </w:rPr>
        <w:t>Schedule 3 – Operating revenue and power purchase cost for unbundled retail energy service providers only</w:t>
      </w:r>
    </w:p>
    <w:p>
      <w:pPr>
        <w:pStyle w:val="Normal"/>
        <w:ind w:start="720" w:end="0"/>
        <w:rPr>
          <w:strike/>
        </w:rPr>
      </w:pPr>
      <w:r>
        <w:rPr>
          <w:strike/>
        </w:rPr>
        <w:t>Schedule 4, Part B – Unbundled retail energy revenue, MWhs, number of customers</w:t>
      </w:r>
    </w:p>
    <w:p>
      <w:pPr>
        <w:pStyle w:val="Normal"/>
        <w:ind w:start="720" w:end="0"/>
        <w:rPr>
          <w:strike/>
        </w:rPr>
      </w:pPr>
      <w:r>
        <w:rPr>
          <w:strike/>
        </w:rPr>
      </w:r>
    </w:p>
    <w:p>
      <w:pPr>
        <w:pStyle w:val="Normal"/>
        <w:numPr>
          <w:ilvl w:val="0"/>
          <w:numId w:val="1"/>
        </w:numPr>
        <w:rPr>
          <w:b/>
          <w:bCs/>
        </w:rPr>
      </w:pPr>
      <w:r>
        <w:rPr>
          <w:b/>
          <w:bCs/>
        </w:rPr>
        <w:t>Form EIA-906 – "Power Plant Report"</w:t>
      </w:r>
    </w:p>
    <w:p>
      <w:pPr>
        <w:pStyle w:val="Normal"/>
        <w:rPr>
          <w:b/>
          <w:bCs/>
        </w:rPr>
      </w:pPr>
      <w:r>
        <w:rPr>
          <w:b/>
          <w:bCs/>
        </w:rPr>
      </w:r>
    </w:p>
    <w:p>
      <w:pPr>
        <w:pStyle w:val="Normal"/>
        <w:ind w:start="720" w:end="0"/>
        <w:rPr/>
      </w:pPr>
      <w:r>
        <w:rPr>
          <w:strike/>
        </w:rPr>
        <w:t>Columns d,g,h,i,j – Fuel type, amount, stocks, heat content,</w:t>
      </w:r>
      <w:r>
        <w:rPr/>
        <w:t xml:space="preserve"> thermal output</w:t>
      </w:r>
    </w:p>
    <w:p>
      <w:pPr>
        <w:pStyle w:val="Normal"/>
        <w:ind w:start="720" w:end="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DefaultParagraphFont">
    <w:name w:val="Default Paragraph Font"/>
    <w:qFormat/>
    <w:rPr/>
  </w:style>
  <w:style w:type="character" w:styleId="Hyperlink">
    <w:name w:val="Hyperlink"/>
    <w:basedOn w:val="DefaultParagraphFont"/>
    <w:rPr>
      <w:color w:val="333366"/>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jc w:val="both"/>
    </w:pPr>
    <w:rPr/>
  </w:style>
  <w:style w:type="paragraph" w:styleId="BodyTextIndent2">
    <w:name w:val="Body Text Indent 2"/>
    <w:basedOn w:val="Normal"/>
    <w:qFormat/>
    <w:pPr>
      <w:ind w:hanging="0" w:start="720" w:end="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2001-07-27T14:21:00Z</dcterms:created>
  <dc:creator>Information Services</dc:creator>
  <dc:description/>
  <dc:language>en-CA</dc:language>
  <cp:lastModifiedBy>RS8</cp:lastModifiedBy>
  <dcterms:modified xsi:type="dcterms:W3CDTF">2001-08-02T16:08:00Z</dcterms:modified>
  <cp:revision>4</cp:revision>
  <dc:subject/>
  <dc:title>On Wednesday, July 18, 2001, EEI Staff met with representatives of EIA to discuss the data confidentiality issues inherent in </dc:title>
</cp:coreProperties>
</file>