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u w:val="single"/>
        </w:rPr>
      </w:pPr>
      <w:r>
        <w:rPr>
          <w:b/>
          <w:u w:val="single"/>
        </w:rPr>
      </w:r>
    </w:p>
    <w:p>
      <w:pPr>
        <w:pStyle w:val="Normal"/>
        <w:jc w:val="center"/>
        <w:rPr>
          <w:b/>
        </w:rPr>
      </w:pPr>
      <w:r>
        <w:rPr>
          <w:b/>
        </w:rPr>
        <w:t>ENRON EUROPE</w:t>
      </w:r>
    </w:p>
    <w:p>
      <w:pPr>
        <w:pStyle w:val="Normal"/>
        <w:jc w:val="center"/>
        <w:rPr>
          <w:b/>
        </w:rPr>
      </w:pPr>
      <w:r>
        <w:rPr>
          <w:b/>
        </w:rPr>
        <w:t>CREDIT DERIVATIVES</w:t>
      </w:r>
    </w:p>
    <w:p>
      <w:pPr>
        <w:pStyle w:val="Normal"/>
        <w:jc w:val="center"/>
        <w:rPr>
          <w:b/>
        </w:rPr>
      </w:pPr>
      <w:r>
        <w:rPr>
          <w:b/>
        </w:rPr>
        <w:t xml:space="preserve">POLICIES AND PROCEDURES RELATING TO CONFIDENTIAL </w:t>
        <w:br/>
        <w:t>INFORMATION AND RELATED MATTERS</w:t>
      </w:r>
    </w:p>
    <w:p>
      <w:pPr>
        <w:pStyle w:val="Normal"/>
        <w:rPr>
          <w:b/>
        </w:rPr>
      </w:pPr>
      <w:r>
        <w:rPr>
          <w:b/>
        </w:rPr>
        <w:t>A.</w:t>
        <w:tab/>
        <w:t>Introduction</w:t>
      </w:r>
    </w:p>
    <w:p>
      <w:pPr>
        <w:pStyle w:val="Normal"/>
        <w:rPr/>
      </w:pPr>
      <w:r>
        <w:rPr/>
        <w:tab/>
        <w:t>This document sets out the policies and procedures adopted by Enron for the protection of confidential information and related matters in connection with the trading of credit derivatives.</w:t>
      </w:r>
    </w:p>
    <w:p>
      <w:pPr>
        <w:pStyle w:val="Normal"/>
        <w:rPr/>
      </w:pPr>
      <w:r>
        <w:rPr/>
        <w:tab/>
        <w:t>From time to time Enron may be in possession of confidential information regarding the entities on which credit derivatives are traded (“Reference Entities”).  For example, business units or affiliates of Enron that are not involved in trading credit derivatives may have trading or lending relationships with Reference Entities that result in Enron obtaining confidential information regarding such entities.  Enron may also have investments in, or enter into, or contemplate entering into, transactions with Reference Entities.  Enron may also enter into confidentiality agreements or undertakings with Reference Entities that restrict its use of information obtained from such Reference Entities.  In any of these cases Enron may have obligations towards the Reference Entities to protect the confidentiality of such information and not to use it for a purpose not consented to by the Reference Entity.</w:t>
      </w:r>
    </w:p>
    <w:p>
      <w:pPr>
        <w:pStyle w:val="Normal"/>
        <w:rPr/>
      </w:pPr>
      <w:r>
        <w:rPr/>
        <w:tab/>
        <w:t>The unauthorised disclosure or use of confidential information may expose Enron to liability towards Reference Entities.  In addition, there is exposure to criminal liability for insider dealing (which in the UK carries a maximum sentence of 7 years’ imprisonment) if Enron has unpublished price sensitive information and deals, or encourages another person to deal, in the securities of a Reference Entity, or if Enron employees disclose such information other than in the proper course of their employment.  Further information on insider dealing is contained in Chapter X of Enron’s Compliance Manual.</w:t>
      </w:r>
    </w:p>
    <w:p>
      <w:pPr>
        <w:pStyle w:val="Normal"/>
        <w:rPr/>
      </w:pPr>
      <w:r>
        <w:rPr/>
        <w:tab/>
        <w:t xml:space="preserve">These policies and procedures are designed to protect confidential information regarding Reference Entities that may be in Enron’s possession, and to reduce Enron’s potential exposure to liability as a result of its possession of such information.  </w:t>
        <w:tab/>
        <w:t xml:space="preserve">Each Enron business head (and each relevant member of staff in his or her group) is expected to be familiar with, and to comply with, the policies and procedures set out in this document.  </w:t>
      </w:r>
      <w:r>
        <w:rPr>
          <w:b/>
        </w:rPr>
        <w:t>However, you are not expected to attempt to solve complex legal issues.  The Legal Department should always be consulted to resolve any questions you may have regarding the legality of a proposed course of action.</w:t>
      </w:r>
    </w:p>
    <w:p>
      <w:pPr>
        <w:pStyle w:val="Normal"/>
        <w:rPr/>
      </w:pPr>
      <w:r>
        <w:rPr/>
        <w:tab/>
        <w:t xml:space="preserve">These policies and procedures supplement, but are not a substitute and do not replace, any other policies and procedures Enron has which are generally applicable to the protection of confidential information by Enron. </w:t>
      </w:r>
    </w:p>
    <w:p>
      <w:pPr>
        <w:pStyle w:val="Normal"/>
        <w:rPr>
          <w:b/>
          <w:u w:val="single"/>
        </w:rPr>
      </w:pPr>
      <w:r>
        <w:rPr>
          <w:b/>
        </w:rPr>
        <w:t>B.</w:t>
        <w:tab/>
        <w:t>Confidential Information</w:t>
      </w:r>
    </w:p>
    <w:p>
      <w:pPr>
        <w:pStyle w:val="Normal"/>
        <w:rPr/>
      </w:pPr>
      <w:r>
        <w:rPr/>
        <w:tab/>
        <w:t>For the purposes of these policies and procedures, information is “confidential information” if:-</w:t>
      </w:r>
    </w:p>
    <w:p>
      <w:pPr>
        <w:pStyle w:val="Heading3"/>
        <w:ind w:hanging="0" w:start="0"/>
        <w:rPr/>
      </w:pPr>
      <w:r>
        <w:rPr/>
        <w:t>it is material and non-public; or</w:t>
      </w:r>
    </w:p>
    <w:p>
      <w:pPr>
        <w:pStyle w:val="Heading3"/>
        <w:ind w:hanging="0" w:start="0"/>
        <w:rPr/>
      </w:pPr>
      <w:r>
        <w:rPr/>
        <w:t>the information has been provided to any Enron company or business unit subject to a confidentiality agreement or undertaking; or</w:t>
      </w:r>
    </w:p>
    <w:p>
      <w:pPr>
        <w:pStyle w:val="Heading3"/>
        <w:ind w:hanging="0" w:start="0"/>
        <w:rPr/>
      </w:pPr>
      <w:r>
        <w:rPr/>
        <w:t>it is of a confidential nature and has been communicated to any Enron company or business unit in circumstances importing an obligation of confidence.</w:t>
      </w:r>
    </w:p>
    <w:p>
      <w:pPr>
        <w:pStyle w:val="Normal"/>
        <w:rPr/>
      </w:pPr>
      <w:r>
        <w:rPr/>
        <w:tab/>
        <w:t>Information is “</w:t>
      </w:r>
      <w:r>
        <w:rPr>
          <w:i/>
        </w:rPr>
        <w:t>material</w:t>
      </w:r>
      <w:r>
        <w:rPr/>
        <w:t>” for the purpose of (A) above if it is information that a person would consider to be important in evaluating the creditworthiness of a Reference Entity or, in determining whether to buy, sell or hold the securities of a Reference Entity, if such information could reasonably be expected to affect the market price of such security if disclosed.  Information may be material for this purpose even if it would not be the sole basis for deciding whether or not to buy, sell or hold the securities.  Either positive or negative information may be material.</w:t>
      </w:r>
    </w:p>
    <w:p>
      <w:pPr>
        <w:pStyle w:val="Normal"/>
        <w:rPr/>
      </w:pPr>
      <w:r>
        <w:rPr/>
        <w:tab/>
        <w:t xml:space="preserve">Examples of information relating to a Reference Entity that may be regarded as </w:t>
      </w:r>
      <w:r>
        <w:rPr>
          <w:i/>
        </w:rPr>
        <w:t>material</w:t>
      </w:r>
      <w:r>
        <w:rPr/>
        <w:t xml:space="preserve"> include:-</w:t>
      </w:r>
    </w:p>
    <w:p>
      <w:pPr>
        <w:pStyle w:val="Normal"/>
        <w:numPr>
          <w:ilvl w:val="0"/>
          <w:numId w:val="4"/>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positive or negative changes in its creditworthiness (including impending bankruptcy or liquidity problems).</w:t>
      </w:r>
    </w:p>
    <w:p>
      <w:pPr>
        <w:pStyle w:val="Normal"/>
        <w:numPr>
          <w:ilvl w:val="0"/>
          <w:numId w:val="4"/>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information regarding its trading activities or market positions.</w:t>
      </w:r>
    </w:p>
    <w:p>
      <w:pPr>
        <w:pStyle w:val="Normal"/>
        <w:numPr>
          <w:ilvl w:val="0"/>
          <w:numId w:val="4"/>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major litigation.</w:t>
      </w:r>
    </w:p>
    <w:p>
      <w:pPr>
        <w:pStyle w:val="Normal"/>
        <w:numPr>
          <w:ilvl w:val="0"/>
          <w:numId w:val="4"/>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projections of future earnings or losses.</w:t>
      </w:r>
    </w:p>
    <w:p>
      <w:pPr>
        <w:pStyle w:val="Normal"/>
        <w:numPr>
          <w:ilvl w:val="0"/>
          <w:numId w:val="4"/>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information regarding the gain or loss of a substantial customer or supplier and important new contracts.</w:t>
      </w:r>
    </w:p>
    <w:p>
      <w:pPr>
        <w:pStyle w:val="Normal"/>
        <w:numPr>
          <w:ilvl w:val="0"/>
          <w:numId w:val="4"/>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information regarding a potential, pending or proposed merger or acquisition.</w:t>
      </w:r>
    </w:p>
    <w:p>
      <w:pPr>
        <w:pStyle w:val="Normal"/>
        <w:numPr>
          <w:ilvl w:val="0"/>
          <w:numId w:val="4"/>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information regarding a significant sale of assets or the disposal of a subsidiary.</w:t>
      </w:r>
    </w:p>
    <w:p>
      <w:pPr>
        <w:pStyle w:val="Normal"/>
        <w:numPr>
          <w:ilvl w:val="0"/>
          <w:numId w:val="4"/>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changes in its dividend policy, or the offering of additional securities.</w:t>
      </w:r>
    </w:p>
    <w:p>
      <w:pPr>
        <w:pStyle w:val="Normal"/>
        <w:numPr>
          <w:ilvl w:val="0"/>
          <w:numId w:val="4"/>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changes in key management</w:t>
      </w:r>
    </w:p>
    <w:p>
      <w:pPr>
        <w:pStyle w:val="Normal"/>
        <w:numPr>
          <w:ilvl w:val="0"/>
          <w:numId w:val="4"/>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significant new products or discoveries.</w:t>
      </w:r>
    </w:p>
    <w:p>
      <w:pPr>
        <w:pStyle w:val="Normal"/>
        <w:rPr/>
      </w:pPr>
      <w:r>
        <w:rPr/>
        <w:tab/>
        <w:t>The above list is not exhaustive, and the particular factual situation will determine whether information is material.</w:t>
      </w:r>
    </w:p>
    <w:p>
      <w:pPr>
        <w:pStyle w:val="Normal"/>
        <w:rPr/>
      </w:pPr>
      <w:r>
        <w:rPr/>
        <w:tab/>
        <w:t>Information is “</w:t>
      </w:r>
      <w:r>
        <w:rPr>
          <w:i/>
        </w:rPr>
        <w:t xml:space="preserve">non-public” </w:t>
      </w:r>
      <w:r>
        <w:rPr/>
        <w:t>for the purposes of (A) above  until it has been disseminated in a manner sufficient to ensure its availability to the public.  Information will normally be regarded as having been made public once it has been disseminated through widely-used electronic or paper media.  For example, information that is available through Reuters or Bloomberg, or has been disclosed on the London Stock Exchange Regulatory News Service, may be regarded as publicly available.</w:t>
      </w:r>
    </w:p>
    <w:p>
      <w:pPr>
        <w:pStyle w:val="Normal"/>
        <w:rPr/>
      </w:pPr>
      <w:r>
        <w:rPr/>
        <w:tab/>
        <w:t>Information will fall within (B) above if it is information that is covered by a confidentiality agreement or undertaking given by Enron.  Such information need not be “material” to fall within this category.  In certain circumstances, information that has been made public (as referred to above) may also be protected by a confidentiality agreement or undertaking.  In all cases where Enron has entered into a confidentiality agreement with, or given a confidentiality undertaking to, a Reference Entity, the Enron Legal Department should be informed if a person obtains confidential information about that Reference Entity (whether from within or outside Enron) in order to determine whether to put that Reference Entity on the Restricted List referred to below.</w:t>
      </w:r>
    </w:p>
    <w:p>
      <w:pPr>
        <w:pStyle w:val="Normal"/>
        <w:rPr/>
      </w:pPr>
      <w:r>
        <w:rPr/>
        <w:tab/>
        <w:t>The question whether any particular information is covered by a confidentiality agreement or undertaking given to a Reference Entity involves complicated assessments of law and fact.  Enron employees must refer this question to the Enron Legal Department.</w:t>
      </w:r>
    </w:p>
    <w:p>
      <w:pPr>
        <w:pStyle w:val="Normal"/>
        <w:rPr/>
      </w:pPr>
      <w:r>
        <w:rPr/>
        <w:tab/>
        <w:t>Information will fall within (C) above if it is of a confidential nature and has been communicated in circumstances importing an obligation of confidence.  Information may be within this category even though it is not “material” and could not be expected to affect the price of the Reference Entity’s securities or credit derivatives on such Reference Entity.  Information will be confidential within this category if a Reference Entity would reasonably believe that the release or use of the information by Enron in pricing or trading the credit derivative would adversely affect that Reference Entity, or be of advantage to its business rivals (including, if applicable, Enron) or others.</w:t>
      </w:r>
    </w:p>
    <w:p>
      <w:pPr>
        <w:pStyle w:val="Normal"/>
        <w:rPr/>
      </w:pPr>
      <w:r>
        <w:rPr/>
        <w:tab/>
        <w:t>Information may be regarded as being of a “</w:t>
      </w:r>
      <w:r>
        <w:rPr>
          <w:i/>
        </w:rPr>
        <w:t>confidential nature”</w:t>
      </w:r>
      <w:r>
        <w:rPr/>
        <w:t xml:space="preserve"> if, for example, it relates to:-</w:t>
      </w:r>
    </w:p>
    <w:p>
      <w:pPr>
        <w:pStyle w:val="Normal"/>
        <w:numPr>
          <w:ilvl w:val="0"/>
          <w:numId w:val="3"/>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 xml:space="preserve">any of the matters referred to above as being </w:t>
      </w:r>
      <w:r>
        <w:rPr>
          <w:i/>
        </w:rPr>
        <w:t>material.</w:t>
      </w:r>
    </w:p>
    <w:p>
      <w:pPr>
        <w:pStyle w:val="Normal"/>
        <w:numPr>
          <w:ilvl w:val="0"/>
          <w:numId w:val="3"/>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internal management accounts, profit and loss or balance sheet of a Reference Entity.</w:t>
      </w:r>
    </w:p>
    <w:p>
      <w:pPr>
        <w:pStyle w:val="Normal"/>
        <w:numPr>
          <w:ilvl w:val="0"/>
          <w:numId w:val="3"/>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a Reference Entity’s trading positions with Enron (whether in financial products or physical commodities).</w:t>
      </w:r>
    </w:p>
    <w:p>
      <w:pPr>
        <w:pStyle w:val="Normal"/>
        <w:numPr>
          <w:ilvl w:val="0"/>
          <w:numId w:val="3"/>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material financial transactions entered into by a Reference Entity with Enron (e.g. lending, borrowing, repo finance).</w:t>
      </w:r>
    </w:p>
    <w:p>
      <w:pPr>
        <w:pStyle w:val="Normal"/>
        <w:numPr>
          <w:ilvl w:val="0"/>
          <w:numId w:val="3"/>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research and development.</w:t>
      </w:r>
    </w:p>
    <w:p>
      <w:pPr>
        <w:pStyle w:val="Normal"/>
        <w:numPr>
          <w:ilvl w:val="0"/>
          <w:numId w:val="3"/>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exploratory work (including exploratory mining, testing, drilling, boreholes) and any result thereof.</w:t>
      </w:r>
    </w:p>
    <w:p>
      <w:pPr>
        <w:pStyle w:val="Normal"/>
        <w:numPr>
          <w:ilvl w:val="0"/>
          <w:numId w:val="3"/>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the granting, refusal, imposition of restrictions or conditions or any change in any licence, consent, approval, permission or authorisation relevant to a Reference Entity’s business, or any change in the regulatory environment that is specific to that Reference Entity (e.g. price controls, rate of return restrictions, unpublished RPI formula).</w:t>
      </w:r>
    </w:p>
    <w:p>
      <w:pPr>
        <w:pStyle w:val="Normal"/>
        <w:rPr/>
      </w:pPr>
      <w:r>
        <w:rPr/>
        <w:tab/>
        <w:t>Information will be imparted in circumstances “</w:t>
      </w:r>
      <w:r>
        <w:rPr>
          <w:i/>
        </w:rPr>
        <w:t>imposing a duty of confidence”</w:t>
      </w:r>
      <w:r>
        <w:rPr/>
        <w:t xml:space="preserve"> if the circumstances are such that any reasonable person receiving the information would realise that the information was being given in confidence.  All information provided on a commercial basis, or as part of, or to facilitate, a commercial transaction with Enron, should be treated as having been provided in circumstances imposing a duty of confidence.  The same is the case where information is obtained by Enron in the course of a trading relationship with Enron or as part of corporate finance or advisory services provided by Enron.  Where information is obtained as a result of such a relationship and is subsequently disseminated within Enron, such information will be confidential if the person who first received it from the Reference Entity received it in circumstances where a duty of confidence is imposed.</w:t>
      </w:r>
    </w:p>
    <w:p>
      <w:pPr>
        <w:pStyle w:val="Normal"/>
        <w:rPr/>
      </w:pPr>
      <w:r>
        <w:rPr/>
        <w:tab/>
        <w:t>The determination of whether information relating to a Reference Entity is confidential involves complex legal and factual judgments.  In any case of doubt Enron employees must refer this question to the Enron Legal Department, and pending any decisions by the Enron Legal Department treat such information as being confidential.  In general, all information about any Reference Entity, and all information received from Reference Entities, should be presumed to be confidential unless the contrary is clear.</w:t>
      </w:r>
    </w:p>
    <w:p>
      <w:pPr>
        <w:pStyle w:val="Normal"/>
        <w:rPr>
          <w:b/>
          <w:u w:val="single"/>
        </w:rPr>
      </w:pPr>
      <w:r>
        <w:rPr>
          <w:b/>
        </w:rPr>
        <w:t>C.</w:t>
        <w:tab/>
        <w:t>General Procedures</w:t>
      </w:r>
    </w:p>
    <w:p>
      <w:pPr>
        <w:pStyle w:val="Normal"/>
        <w:rPr/>
      </w:pPr>
      <w:r>
        <w:rPr/>
        <w:tab/>
        <w:t>In connection with the trading of credit derivatives, as in all other activities related to customers or counterparties, Enron employees must follow the basic guidelines and restrictions outlined below to protect confidential information relating to Reference Entities:</w:t>
      </w:r>
    </w:p>
    <w:p>
      <w:pPr>
        <w:pStyle w:val="Normal"/>
        <w:ind w:hanging="709" w:start="709" w:end="0"/>
        <w:rPr/>
      </w:pPr>
      <w:r>
        <w:rPr/>
        <w:t>1.</w:t>
        <w:tab/>
        <w:t>Confidential information regarding Reference Entities should not be communicated to anyone other than Enron employees and Enron’s external lawyers, accountants and advisors.  Moreover, confidential information should be communicated to those persons only if and when the recipient has a legitimate need to know such information in connection with his or her duties to Enron.</w:t>
      </w:r>
    </w:p>
    <w:p>
      <w:pPr>
        <w:pStyle w:val="Normal"/>
        <w:ind w:hanging="709" w:start="709" w:end="0"/>
        <w:rPr/>
      </w:pPr>
      <w:r>
        <w:rPr/>
        <w:t>2.</w:t>
        <w:tab/>
        <w:t>Whenever you communicate confidential information to someone to whom you are permitted to provide it under these policies and procedures you must inform that person that the information is confidential and give instructions restricting further dissemination.</w:t>
      </w:r>
    </w:p>
    <w:p>
      <w:pPr>
        <w:pStyle w:val="Normal"/>
        <w:ind w:hanging="709" w:start="709" w:end="0"/>
        <w:rPr/>
      </w:pPr>
      <w:r>
        <w:rPr/>
        <w:t>3.</w:t>
        <w:tab/>
        <w:t>Avoid discussing confidential information in public places such as hallways, lifts, office reception areas, social gatherings, restaurants, hotel lobbies, aeroplanes, buses, trains, taxi cabs and other public transport.</w:t>
      </w:r>
    </w:p>
    <w:p>
      <w:pPr>
        <w:pStyle w:val="Normal"/>
        <w:ind w:hanging="709" w:start="709" w:end="0"/>
        <w:rPr/>
      </w:pPr>
      <w:r>
        <w:rPr/>
        <w:t>4.</w:t>
        <w:tab/>
        <w:t>Avoid the use of speakerphones in circumstances where confidential information may be overheard.  If a speakerphone must be utilised, ensure that the volume is not unnecessarily loud.  Use mobile telephones with care and circumspection.  They are not secure.</w:t>
      </w:r>
    </w:p>
    <w:p>
      <w:pPr>
        <w:pStyle w:val="Normal"/>
        <w:ind w:hanging="709" w:start="709" w:end="0"/>
        <w:rPr/>
      </w:pPr>
      <w:r>
        <w:rPr/>
        <w:t>5.</w:t>
        <w:tab/>
        <w:t xml:space="preserve">If information is the subject of a confidentiality agreement or undertaking, care must be exercised to comply with the specific terms of that agreement or undertaking.  </w:t>
      </w:r>
      <w:r>
        <w:rPr>
          <w:i/>
        </w:rPr>
        <w:t>All confidentiality agreements and undertakings should be reviewed by the Legal Department prior to execution.</w:t>
      </w:r>
    </w:p>
    <w:p>
      <w:pPr>
        <w:pStyle w:val="Normal"/>
        <w:ind w:hanging="709" w:start="709" w:end="0"/>
        <w:rPr/>
      </w:pPr>
      <w:r>
        <w:rPr/>
        <w:t>6.</w:t>
        <w:tab/>
        <w:t>Avoid placing confidential documents in office areas where they may be read by unauthorised persons, and store confidential documents in secure locations.  Do not leave them exposed overnight on desks, printers, fax machines or in work rooms.</w:t>
      </w:r>
    </w:p>
    <w:p>
      <w:pPr>
        <w:pStyle w:val="Normal"/>
        <w:ind w:hanging="709" w:start="709" w:end="0"/>
        <w:rPr/>
      </w:pPr>
      <w:r>
        <w:rPr/>
        <w:t>7.</w:t>
        <w:tab/>
        <w:t>Avoid unnecessary copying of confidential documents.  If possible, use copying services inside Enron if confidential information is involved.  If you need to use outside copying services, inform the Enron Legal Department beforehand so that any additional steps that need to be taken to protect the confidential information may be put in place.</w:t>
      </w:r>
    </w:p>
    <w:p>
      <w:pPr>
        <w:pStyle w:val="Normal"/>
        <w:ind w:hanging="709" w:start="709" w:end="0"/>
        <w:rPr/>
      </w:pPr>
      <w:r>
        <w:rPr/>
        <w:t>8.</w:t>
        <w:tab/>
        <w:t>Maintain confidential databases and other confidential information accessible by computer in computer files that are password protected or otherwise secure against access by unauthorised persons.</w:t>
      </w:r>
    </w:p>
    <w:p>
      <w:pPr>
        <w:pStyle w:val="Normal"/>
        <w:ind w:hanging="709" w:start="709" w:end="0"/>
        <w:rPr/>
      </w:pPr>
      <w:r>
        <w:rPr/>
        <w:t>9.</w:t>
        <w:tab/>
        <w:t>Avoid communicating confidential information by fax or e-mail.  Before sending confidential documents or information by fax or e-mail, you should either remove or redact the confidential information or insure that the intended recipient is attending the machine that will receive the transmission.</w:t>
      </w:r>
    </w:p>
    <w:p>
      <w:pPr>
        <w:pStyle w:val="Normal"/>
        <w:ind w:hanging="709" w:start="709" w:end="0"/>
        <w:rPr/>
      </w:pPr>
      <w:r>
        <w:rPr/>
        <w:t>10.</w:t>
        <w:tab/>
        <w:t>Destroy or return confidential documents no longer needed and not otherwise required to be maintained by law.</w:t>
      </w:r>
    </w:p>
    <w:p>
      <w:pPr>
        <w:pStyle w:val="Normal"/>
        <w:ind w:hanging="709" w:start="709" w:end="0"/>
        <w:rPr>
          <w:b/>
        </w:rPr>
      </w:pPr>
      <w:r>
        <w:rPr>
          <w:b/>
        </w:rPr>
        <w:t>D.</w:t>
        <w:tab/>
        <w:t>The Restricted List</w:t>
      </w:r>
    </w:p>
    <w:p>
      <w:pPr>
        <w:pStyle w:val="Normal"/>
        <w:rPr/>
      </w:pPr>
      <w:r>
        <w:rPr/>
        <w:tab/>
        <w:t>Enron has established a credit derivatives restricted list (“Restricted List”) procedure which is designed to ensure that no dealings take place in credit derivatives where an employee of Enron is or may be in possession of confidential information relating to a Reference Entity where such dealing would expose Enron to liability or potential liability for breach of confidence or breach of any confidentiality agreement or undertaking.</w:t>
      </w:r>
    </w:p>
    <w:p>
      <w:pPr>
        <w:pStyle w:val="Normal"/>
        <w:rPr/>
      </w:pPr>
      <w:r>
        <w:rPr/>
        <w:tab/>
        <w:t>The Restricted List is a list of the names of entities (including companies, governments and other public bodies) which may not be used as Reference Entities for pricing or trading in credit derivatives, or where such pricing or trading is subject to restrictions.  It is essential that employees are alert to circumstances that might require a Reference Entity to be placed on the Restricted List.</w:t>
      </w:r>
    </w:p>
    <w:p>
      <w:pPr>
        <w:pStyle w:val="Normal"/>
        <w:ind w:hanging="709" w:start="709" w:end="0"/>
        <w:rPr>
          <w:b/>
          <w:u w:val="single"/>
        </w:rPr>
      </w:pPr>
      <w:r>
        <w:rPr>
          <w:b/>
        </w:rPr>
        <w:t>E.</w:t>
        <w:tab/>
        <w:t>Use of the Restricted List</w:t>
      </w:r>
    </w:p>
    <w:p>
      <w:pPr>
        <w:pStyle w:val="Normal"/>
        <w:rPr/>
      </w:pPr>
      <w:r>
        <w:rPr/>
        <w:tab/>
        <w:t>The Restricted List, however, is designed for other purposes than solely to prevent the misuse of confidential information.  For example, an entity may be placed on the Restricted List if Enron is not able to assume any further credit exposure to that entity or believes that market conditions do not warrant the trading of credit derivatives on such entity.  Accordingly when an entity is placed on the Restricted List, it should not be assumed that Enron is in possession of material, non-public information or other confidential information about that entity.</w:t>
      </w:r>
    </w:p>
    <w:p>
      <w:pPr>
        <w:pStyle w:val="Normal"/>
        <w:rPr/>
      </w:pPr>
      <w:r>
        <w:rPr/>
        <w:tab/>
        <w:t>It should also be noted that Enron maintains other restricted lists for other purposes.  For example, the securities trading operations of Enron are subject to restricted list procedures designed to ensure compliance with insider dealing laws.  Entities included on the restricted list with respect to securities trading may be included on the Restricted List and vice-versa.  However, the inclusion of an entity on one restricted list does not necessarily mean that it will be included on another restricted list, due to the differing purposes of such lists.  The Restricted List should not be relied upon as the only source of restrictions that might be applicable to dealings with, or trading in the securities of, a particular entity.</w:t>
      </w:r>
    </w:p>
    <w:p>
      <w:pPr>
        <w:pStyle w:val="Normal"/>
        <w:rPr/>
      </w:pPr>
      <w:r>
        <w:rPr/>
        <w:tab/>
        <w:t>The Restricted List is solely for the internal use of the Firm.  No one should engage in discussions regarding whether an entity is or is not on the Restricted List with persons outside Enron without specific clearance from Enron’s Compliance Officer, Paul Simons, or from either of the following members of Enron’s Legal Department, Michael Brown or Mark Elliott (each a “Designated Person”).</w:t>
      </w:r>
    </w:p>
    <w:p>
      <w:pPr>
        <w:pStyle w:val="Normal"/>
        <w:rPr/>
      </w:pPr>
      <w:r>
        <w:rPr/>
        <w:tab/>
        <w:t xml:space="preserve">The Restricted List also serves a regulatory function and is therefore maintained by the Compliance Officer.  It will not be distributed to employees of the Firm generally.  </w:t>
      </w:r>
      <w:r>
        <w:rPr>
          <w:b/>
        </w:rPr>
        <w:t>The onus is on each employee to check with the Compliance Officer or a Designated Person as to whether or not the name of a particular entity is on the Restricted List before entering into any transaction in credit derivatives relating to such entity.</w:t>
      </w:r>
    </w:p>
    <w:p>
      <w:pPr>
        <w:pStyle w:val="Normal"/>
        <w:ind w:hanging="709" w:start="709" w:end="0"/>
        <w:rPr>
          <w:b/>
        </w:rPr>
      </w:pPr>
      <w:r>
        <w:rPr>
          <w:b/>
        </w:rPr>
        <w:t>F.</w:t>
        <w:tab/>
        <w:t>Prohibitions relating to Restricted List</w:t>
      </w:r>
    </w:p>
    <w:p>
      <w:pPr>
        <w:pStyle w:val="Normal"/>
        <w:rPr/>
      </w:pPr>
      <w:r>
        <w:rPr/>
        <w:tab/>
        <w:t>Where the name of an entity is placed on the Restricted List that entity may not be used as a Reference Entity in pricing or trading in credit derivatives (including transactions to close-out or hedge existing transactions or positions) unless an exemption is granted by the Compliance Officer or a Designated Person on a specific case by case basis.  No exemption will be granted if, in the opinion of the Compliance Officer or a Designated Person, the granting of an exemption could expose Enron to any liability.</w:t>
      </w:r>
    </w:p>
    <w:p>
      <w:pPr>
        <w:pStyle w:val="Normal"/>
        <w:keepNext w:val="true"/>
        <w:ind w:hanging="709" w:start="709" w:end="0"/>
        <w:rPr>
          <w:b/>
        </w:rPr>
      </w:pPr>
      <w:r>
        <w:rPr>
          <w:b/>
        </w:rPr>
        <w:t>G.</w:t>
        <w:tab/>
        <w:t>The Restricted List Procedure</w:t>
      </w:r>
    </w:p>
    <w:p>
      <w:pPr>
        <w:pStyle w:val="Normal"/>
        <w:keepNext w:val="true"/>
        <w:numPr>
          <w:ilvl w:val="0"/>
          <w:numId w:val="6"/>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Any employee in a business group who has or thinks he may have confidential information relating to a Reference Entity should promptly inform the head of his/her group (a “Group Head”) of the name of the entity and the nature and source of the information.</w:t>
      </w:r>
    </w:p>
    <w:p>
      <w:pPr>
        <w:pStyle w:val="Normal"/>
        <w:numPr>
          <w:ilvl w:val="0"/>
          <w:numId w:val="6"/>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The Group Head should promptly inform the Compliance Officer or a Designated Person who will then determine whether or not the entity should be added to the Restricted List.  The nature and source of the confidential information should promptly be confirmed by the Group Head by note mail.</w:t>
      </w:r>
    </w:p>
    <w:p>
      <w:pPr>
        <w:pStyle w:val="Normal"/>
        <w:numPr>
          <w:ilvl w:val="0"/>
          <w:numId w:val="6"/>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If any employee is unable to inform a Group Head promptly, he/she should inform the Compliance Officer or a Designated Person directly.</w:t>
      </w:r>
    </w:p>
    <w:p>
      <w:pPr>
        <w:pStyle w:val="Normal"/>
        <w:numPr>
          <w:ilvl w:val="0"/>
          <w:numId w:val="6"/>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Where an entity is placed on the Restricted List, the name of the individual who instigated its being placed there, together with  the reason for its inclusion, will be recorded on the Restricted List.</w:t>
      </w:r>
    </w:p>
    <w:p>
      <w:pPr>
        <w:pStyle w:val="Normal"/>
        <w:numPr>
          <w:ilvl w:val="0"/>
          <w:numId w:val="6"/>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It is the responsibility of that individual and the relevant Group Head to notify the Compliance Officer or a Designated Person of any change of circumstances which may result in the entity’s name being removed from the Restricted List (e.g. if the confidential information becomes publicly available).  Only the Compliance Officer or a Designated Person may remove an entity from the Restricted List.</w:t>
      </w:r>
    </w:p>
    <w:p>
      <w:pPr>
        <w:pStyle w:val="Normal"/>
        <w:numPr>
          <w:ilvl w:val="0"/>
          <w:numId w:val="6"/>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No person wishing to add or remove any particular entity to or from the Restricted List should communicate this to any person other than the relevant Group Head, the Compliance Officer or a Designated Person.</w:t>
      </w:r>
    </w:p>
    <w:p>
      <w:pPr>
        <w:pStyle w:val="Normal"/>
        <w:numPr>
          <w:ilvl w:val="0"/>
          <w:numId w:val="5"/>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No person who has, or thinks that he/she may have, confidential information relating to a Reference Entity shall enter into transactions in, or display prices for, credit derivatives on that Reference Entity until he/she has informed a Group Head, the Compliance Officer or a Designated Person and been informed by such Group Head, the Compliance Officer or a Designated Person that he/she may enter into credit derivatives or quote prices on that Reference Entity.  Any such clearance must be, or be recorded, in writing.</w:t>
      </w:r>
    </w:p>
    <w:p>
      <w:pPr>
        <w:pStyle w:val="Normal"/>
        <w:numPr>
          <w:ilvl w:val="0"/>
          <w:numId w:val="6"/>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If any employee has any question as to this Restricted List Procedure he/she should consult the Compliance Officer or a Designated Person.</w:t>
      </w:r>
    </w:p>
    <w:p>
      <w:pPr>
        <w:pStyle w:val="Normal"/>
        <w:rPr/>
      </w:pPr>
      <w:r>
        <w:rPr/>
      </w:r>
    </w:p>
    <w:p>
      <w:pPr>
        <w:pStyle w:val="Normal"/>
        <w:spacing w:before="0" w:after="280"/>
        <w:jc w:val="end"/>
        <w:rPr/>
      </w:pPr>
      <w:r>
        <w:rPr/>
        <w:t>18 February 2000</w:t>
      </w:r>
    </w:p>
    <w:sectPr>
      <w:headerReference w:type="default" r:id="rId2"/>
      <w:headerReference w:type="first" r:id="rId3"/>
      <w:footerReference w:type="default" r:id="rId4"/>
      <w:footerReference w:type="first" r:id="rId5"/>
      <w:type w:val="nextPage"/>
      <w:pgSz w:w="11906" w:h="16838"/>
      <w:pgMar w:left="1701" w:right="1701" w:gutter="0" w:header="720" w:top="1418" w:footer="720"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harter BT">
    <w:charset w:val="00" w:characterSet="windows-125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"udp_CMNumber"</w:instrText>
    </w:r>
    <w:r>
      <w:rPr/>
      <w:fldChar w:fldCharType="separate"/>
    </w:r>
    <w:r>
      <w:rPr/>
      <w:t>214686/11161</w:t>
    </w:r>
    <w:r>
      <w:rPr/>
      <w:fldChar w:fldCharType="end"/>
    </w:r>
    <w:r>
      <w:rPr>
        <w:rFonts w:eastAsia="Charter BT"/>
      </w:rPr>
      <w:t xml:space="preserve">  </w:t>
    </w:r>
    <w:r>
      <w:rPr/>
      <w:fldChar w:fldCharType="begin"/>
    </w:r>
    <w:r>
      <w:rPr/>
      <w:instrText xml:space="preserve"> DOCPROPERTY "udp_DocID"</w:instrText>
    </w:r>
    <w:r>
      <w:rPr/>
      <w:fldChar w:fldCharType="separate"/>
    </w:r>
    <w:r>
      <w:rPr/>
      <w:t>CD003678918</w:t>
    </w:r>
    <w:r>
      <w:rPr/>
      <w:fldChar w:fldCharType="end"/>
    </w:r>
    <w:r>
      <w:rPr>
        <w:rFonts w:eastAsia="Charter BT"/>
      </w:rPr>
      <w:t xml:space="preserve"> </w:t>
    </w:r>
    <w:r>
      <w:rPr/>
      <w:fldChar w:fldCharType="begin"/>
    </w:r>
    <w:r>
      <w:rPr/>
      <w:instrText xml:space="preserve"> DOCPROPERTY "udp_Author"</w:instrText>
    </w:r>
    <w:r>
      <w:rPr/>
      <w:fldChar w:fldCharType="separate"/>
    </w:r>
    <w:r>
      <w:rPr/>
      <w:t>SDXW</w:t>
    </w:r>
    <w:r>
      <w:rPr/>
      <w:fldChar w:fldCharType="end"/>
    </w:r>
    <w:r>
      <w:rPr>
        <w:rFonts w:eastAsia="Charter BT"/>
      </w:rPr>
      <w:t xml:space="preserve"> </w:t>
    </w:r>
    <w:r>
      <w:rPr/>
      <w:fldChar w:fldCharType="begin"/>
    </w:r>
    <w:r>
      <w:rPr/>
      <w:instrText xml:space="preserve"> DATE \@"ddMMyy\:HHmm" </w:instrText>
    </w:r>
    <w:r>
      <w:rPr/>
      <w:fldChar w:fldCharType="separate"/>
    </w:r>
    <w:r>
      <w:rPr/>
      <w:t>280925:0824</w:t>
    </w:r>
    <w:r>
      <w:rPr/>
      <w:fldChar w:fldCharType="end"/>
    </w:r>
  </w:p>
  <w:p>
    <w:pPr>
      <w:pStyle w:val="Footer"/>
      <w:spacing w:before="0" w:after="280"/>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"udp_CMNumber"</w:instrText>
    </w:r>
    <w:r>
      <w:rPr/>
      <w:fldChar w:fldCharType="separate"/>
    </w:r>
    <w:r>
      <w:rPr/>
      <w:t>214686/11161</w:t>
    </w:r>
    <w:r>
      <w:rPr/>
      <w:fldChar w:fldCharType="end"/>
    </w:r>
    <w:r>
      <w:rPr>
        <w:rFonts w:eastAsia="Charter BT"/>
      </w:rPr>
      <w:t xml:space="preserve">  </w:t>
    </w:r>
    <w:r>
      <w:rPr/>
      <w:fldChar w:fldCharType="begin"/>
    </w:r>
    <w:r>
      <w:rPr/>
      <w:instrText xml:space="preserve"> DOCPROPERTY "udp_DocID"</w:instrText>
    </w:r>
    <w:r>
      <w:rPr/>
      <w:fldChar w:fldCharType="separate"/>
    </w:r>
    <w:r>
      <w:rPr/>
      <w:t>CD003678918</w:t>
    </w:r>
    <w:r>
      <w:rPr/>
      <w:fldChar w:fldCharType="end"/>
    </w:r>
    <w:r>
      <w:rPr>
        <w:rFonts w:eastAsia="Charter BT"/>
      </w:rPr>
      <w:t xml:space="preserve">  </w:t>
    </w:r>
    <w:r>
      <w:rPr/>
      <w:fldChar w:fldCharType="begin"/>
    </w:r>
    <w:r>
      <w:rPr/>
      <w:instrText xml:space="preserve"> DOCPROPERTY "udp_Author"</w:instrText>
    </w:r>
    <w:r>
      <w:rPr/>
      <w:fldChar w:fldCharType="separate"/>
    </w:r>
    <w:r>
      <w:rPr/>
      <w:t>SDXW</w:t>
    </w:r>
    <w:r>
      <w:rPr/>
      <w:fldChar w:fldCharType="end"/>
    </w:r>
    <w:r>
      <w:rPr>
        <w:rFonts w:eastAsia="Charter BT"/>
      </w:rPr>
      <w:t xml:space="preserve">  </w:t>
    </w:r>
    <w:r>
      <w:rPr/>
      <w:fldChar w:fldCharType="begin"/>
    </w:r>
    <w:r>
      <w:rPr/>
      <w:instrText xml:space="preserve"> DATE \@"ddMMyy\:HHmm" </w:instrText>
    </w:r>
    <w:r>
      <w:rPr/>
      <w:fldChar w:fldCharType="separate"/>
    </w:r>
    <w:r>
      <w:rPr/>
      <w:t>280925:0824</w:t>
    </w:r>
    <w:r>
      <w:rPr/>
      <w:fldChar w:fldCharType="end"/>
    </w:r>
  </w:p>
  <w:p>
    <w:pPr>
      <w:pStyle w:val="Footer"/>
      <w:spacing w:before="0" w:after="28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Header"/>
      <w:spacing w:before="0" w:after="280"/>
      <w:jc w:val="cent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80"/>
      <w:rPr/>
    </w:pPr>
    <w:r>
      <w:rPr/>
      <w:b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09"/>
        </w:tabs>
        <w:ind w:start="709" w:hanging="708"/>
      </w:pPr>
    </w:lvl>
    <w:lvl w:ilvl="1">
      <w:start w:val="1"/>
      <w:pStyle w:val="Heading2"/>
      <w:numFmt w:val="decimal"/>
      <w:lvlText w:val="%1.%2"/>
      <w:lvlJc w:val="start"/>
      <w:pPr>
        <w:tabs>
          <w:tab w:val="num" w:pos="709"/>
        </w:tabs>
        <w:ind w:start="709" w:hanging="709"/>
      </w:pPr>
    </w:lvl>
    <w:lvl w:ilvl="2">
      <w:start w:val="1"/>
      <w:pStyle w:val="Heading3"/>
      <w:numFmt w:val="upperLetter"/>
      <w:lvlText w:val="(%3)"/>
      <w:lvlJc w:val="start"/>
      <w:pPr>
        <w:tabs>
          <w:tab w:val="num" w:pos="1418"/>
        </w:tabs>
        <w:ind w:start="1418" w:hanging="709"/>
      </w:pPr>
    </w:lvl>
    <w:lvl w:ilvl="3">
      <w:start w:val="1"/>
      <w:pStyle w:val="Heading4"/>
      <w:numFmt w:val="lowerRoman"/>
      <w:lvlText w:val="(%4)"/>
      <w:lvlJc w:val="start"/>
      <w:pPr>
        <w:tabs>
          <w:tab w:val="num" w:pos="2138"/>
        </w:tabs>
        <w:ind w:start="2126" w:hanging="708"/>
      </w:pPr>
    </w:lvl>
    <w:lvl w:ilvl="4">
      <w:start w:val="1"/>
      <w:pStyle w:val="Heading5"/>
      <w:numFmt w:val="lowerLetter"/>
      <w:lvlText w:val="(%5)"/>
      <w:lvlJc w:val="start"/>
      <w:pPr>
        <w:tabs>
          <w:tab w:val="num" w:pos="2835"/>
        </w:tabs>
        <w:ind w:start="2835" w:hanging="709"/>
      </w:pPr>
    </w:lvl>
    <w:lvl w:ilvl="5">
      <w:start w:val="1"/>
      <w:pStyle w:val="Heading6"/>
      <w:numFmt w:val="decimal"/>
      <w:lvlText w:val="(%6)"/>
      <w:lvlJc w:val="start"/>
      <w:pPr>
        <w:tabs>
          <w:tab w:val="num" w:pos="3544"/>
        </w:tabs>
        <w:ind w:start="3544" w:hanging="709"/>
      </w:pPr>
    </w:lvl>
    <w:lvl w:ilvl="6">
      <w:start w:val="1"/>
      <w:pStyle w:val="Heading7"/>
      <w:numFmt w:val="upperLetter"/>
      <w:lvlText w:val="(%7)"/>
      <w:lvlJc w:val="start"/>
      <w:pPr>
        <w:tabs>
          <w:tab w:val="num" w:pos="4253"/>
        </w:tabs>
        <w:ind w:start="4253" w:hanging="709"/>
      </w:pPr>
    </w:lvl>
    <w:lvl w:ilvl="7">
      <w:start w:val="1"/>
      <w:pStyle w:val="Heading8"/>
      <w:numFmt w:val="decimal"/>
      <w:lvlText w:val="(%8)"/>
      <w:lvlJc w:val="start"/>
      <w:pPr>
        <w:tabs>
          <w:tab w:val="num" w:pos="4961"/>
        </w:tabs>
        <w:ind w:start="4961" w:hanging="708"/>
      </w:pPr>
    </w:lvl>
    <w:lvl w:ilvl="8">
      <w:start w:val="1"/>
      <w:pStyle w:val="Heading9"/>
      <w:numFmt w:val="lowerRoman"/>
      <w:lvlText w:val="(%9)"/>
      <w:lvlJc w:val="start"/>
      <w:pPr>
        <w:tabs>
          <w:tab w:val="num" w:pos="5681"/>
        </w:tabs>
        <w:ind w:start="5670" w:hanging="709"/>
      </w:pPr>
    </w:lvl>
  </w:abstractNum>
  <w:abstractNum w:abstractNumId="2">
    <w:lvl w:ilvl="0">
      <w:start w:val="1"/>
      <w:numFmt w:val="decimal"/>
      <w:lvlText w:val="%1."/>
      <w:lvlJc w:val="start"/>
      <w:pPr>
        <w:tabs>
          <w:tab w:val="num" w:pos="709"/>
        </w:tabs>
        <w:ind w:start="709" w:hanging="708"/>
      </w:pPr>
    </w:lvl>
    <w:lvl w:ilvl="1">
      <w:start w:val="1"/>
      <w:numFmt w:val="decimal"/>
      <w:lvlText w:val="%1.%2"/>
      <w:lvlJc w:val="start"/>
      <w:pPr>
        <w:tabs>
          <w:tab w:val="num" w:pos="709"/>
        </w:tabs>
        <w:ind w:start="709" w:hanging="709"/>
      </w:pPr>
    </w:lvl>
    <w:lvl w:ilvl="2">
      <w:start w:val="1"/>
      <w:numFmt w:val="upperLetter"/>
      <w:lvlText w:val="(%3)"/>
      <w:lvlJc w:val="start"/>
      <w:pPr>
        <w:tabs>
          <w:tab w:val="num" w:pos="1418"/>
        </w:tabs>
        <w:ind w:start="1418" w:hanging="709"/>
      </w:pPr>
    </w:lvl>
    <w:lvl w:ilvl="3">
      <w:start w:val="1"/>
      <w:numFmt w:val="lowerRoman"/>
      <w:lvlText w:val="(%4)"/>
      <w:lvlJc w:val="start"/>
      <w:pPr>
        <w:tabs>
          <w:tab w:val="num" w:pos="2138"/>
        </w:tabs>
        <w:ind w:start="2126" w:hanging="708"/>
      </w:pPr>
    </w:lvl>
    <w:lvl w:ilvl="4">
      <w:start w:val="1"/>
      <w:numFmt w:val="lowerLetter"/>
      <w:lvlText w:val="(%5)"/>
      <w:lvlJc w:val="start"/>
      <w:pPr>
        <w:tabs>
          <w:tab w:val="num" w:pos="2835"/>
        </w:tabs>
        <w:ind w:start="2835" w:hanging="709"/>
      </w:pPr>
    </w:lvl>
    <w:lvl w:ilvl="5">
      <w:start w:val="1"/>
      <w:numFmt w:val="decimal"/>
      <w:lvlText w:val="(%6)"/>
      <w:lvlJc w:val="start"/>
      <w:pPr>
        <w:tabs>
          <w:tab w:val="num" w:pos="3544"/>
        </w:tabs>
        <w:ind w:start="3544" w:hanging="709"/>
      </w:pPr>
    </w:lvl>
    <w:lvl w:ilvl="6">
      <w:start w:val="1"/>
      <w:numFmt w:val="upperLetter"/>
      <w:lvlText w:val="(%7)"/>
      <w:lvlJc w:val="start"/>
      <w:pPr>
        <w:tabs>
          <w:tab w:val="num" w:pos="4253"/>
        </w:tabs>
        <w:ind w:start="4253" w:hanging="709"/>
      </w:pPr>
    </w:lvl>
    <w:lvl w:ilvl="7">
      <w:start w:val="1"/>
      <w:numFmt w:val="decimal"/>
      <w:lvlText w:val="(%8)"/>
      <w:lvlJc w:val="start"/>
      <w:pPr>
        <w:tabs>
          <w:tab w:val="num" w:pos="4961"/>
        </w:tabs>
        <w:ind w:start="4961" w:hanging="708"/>
      </w:pPr>
    </w:lvl>
    <w:lvl w:ilvl="8">
      <w:start w:val="1"/>
      <w:numFmt w:val="lowerRoman"/>
      <w:lvlText w:val="(%9)"/>
      <w:lvlJc w:val="start"/>
      <w:pPr>
        <w:tabs>
          <w:tab w:val="num" w:pos="5681"/>
        </w:tabs>
        <w:ind w:start="5670" w:hanging="709"/>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bidi w:val="0"/>
      <w:spacing w:lineRule="atLeast" w:line="280" w:before="0" w:after="280"/>
    </w:pPr>
    <w:rPr>
      <w:rFonts w:ascii="Charter BT" w:hAnsi="Charter BT" w:eastAsia="Times New Roman" w:cs="Charter BT"/>
      <w:color w:val="auto"/>
      <w:kern w:val="2"/>
      <w:sz w:val="20"/>
      <w:szCs w:val="20"/>
      <w:lang w:val="en-GB"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numPr>
        <w:ilvl w:val="1"/>
        <w:numId w:val="1"/>
      </w:numPr>
      <w:outlineLvl w:val="1"/>
    </w:pPr>
    <w:rPr>
      <w:b/>
    </w:rPr>
  </w:style>
  <w:style w:type="paragraph" w:styleId="Heading3">
    <w:name w:val="heading 3"/>
    <w:basedOn w:val="Normal"/>
    <w:next w:val="Normal"/>
    <w:qFormat/>
    <w:pPr>
      <w:numPr>
        <w:ilvl w:val="2"/>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2"/>
    </w:pPr>
    <w:rPr/>
  </w:style>
  <w:style w:type="paragraph" w:styleId="Heading4">
    <w:name w:val="heading 4"/>
    <w:basedOn w:val="Normal"/>
    <w:next w:val="Normal"/>
    <w:qFormat/>
    <w:pPr>
      <w:numPr>
        <w:ilvl w:val="3"/>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3"/>
    </w:pPr>
    <w:rPr/>
  </w:style>
  <w:style w:type="paragraph" w:styleId="Heading5">
    <w:name w:val="heading 5"/>
    <w:basedOn w:val="Normal"/>
    <w:next w:val="Normal"/>
    <w:qFormat/>
    <w:pPr>
      <w:numPr>
        <w:ilvl w:val="4"/>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4"/>
    </w:pPr>
    <w:rPr/>
  </w:style>
  <w:style w:type="paragraph" w:styleId="Heading6">
    <w:name w:val="heading 6"/>
    <w:basedOn w:val="Normal"/>
    <w:next w:val="Normal"/>
    <w:qFormat/>
    <w:pPr>
      <w:numPr>
        <w:ilvl w:val="5"/>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5"/>
    </w:pPr>
    <w:rPr/>
  </w:style>
  <w:style w:type="paragraph" w:styleId="Heading7">
    <w:name w:val="heading 7"/>
    <w:basedOn w:val="Normal"/>
    <w:next w:val="Normal"/>
    <w:qFormat/>
    <w:pPr>
      <w:numPr>
        <w:ilvl w:val="6"/>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6"/>
    </w:pPr>
    <w:rPr/>
  </w:style>
  <w:style w:type="paragraph" w:styleId="Heading8">
    <w:name w:val="heading 8"/>
    <w:basedOn w:val="Normal"/>
    <w:next w:val="Normal"/>
    <w:qFormat/>
    <w:pPr>
      <w:numPr>
        <w:ilvl w:val="7"/>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7"/>
    </w:pPr>
    <w:rPr/>
  </w:style>
  <w:style w:type="paragraph" w:styleId="Heading9">
    <w:name w:val="heading 9"/>
    <w:basedOn w:val="Normal"/>
    <w:next w:val="Normal"/>
    <w:qFormat/>
    <w:pPr>
      <w:numPr>
        <w:ilvl w:val="8"/>
        <w:numId w:val="1"/>
      </w:numPr>
      <w:tabs>
        <w:tab w:val="clear" w:pos="709"/>
        <w:tab w:val="left" w:pos="1418" w:leader="none"/>
        <w:tab w:val="left" w:pos="2126" w:leader="none"/>
        <w:tab w:val="left" w:pos="2835" w:leader="none"/>
        <w:tab w:val="left" w:pos="3544" w:leader="none"/>
        <w:tab w:val="left" w:pos="4253" w:leader="none"/>
        <w:tab w:val="left" w:pos="4961" w:leader="none"/>
        <w:tab w:val="right" w:pos="5670" w:leader="none"/>
        <w:tab w:val="right" w:pos="8363" w:leader="none"/>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4z0">
    <w:name w:val="WW8Num14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color w:val="auto"/>
      <w:kern w:val="2"/>
      <w:u w:val="none"/>
    </w:rPr>
  </w:style>
  <w:style w:type="character" w:styleId="AnnotationReference">
    <w:name w:val="Annotation Reference"/>
    <w:basedOn w:val="DefaultParagraphFont"/>
    <w:qFormat/>
    <w:rPr>
      <w:i/>
      <w:color w:val="auto"/>
      <w:kern w:val="2"/>
      <w:sz w:val="16"/>
      <w:u w:val="none"/>
      <w:vertAlign w:val="superscript"/>
    </w:rPr>
  </w:style>
  <w:style w:type="character" w:styleId="EndnoteCharacters">
    <w:name w:val="Endnote Characters"/>
    <w:basedOn w:val="DefaultParagraphFont"/>
    <w:qFormat/>
    <w:rPr>
      <w:b/>
      <w:color w:val="auto"/>
      <w:kern w:val="2"/>
      <w:sz w:val="14"/>
      <w:u w:val="none"/>
      <w:vertAlign w:val="superscript"/>
    </w:rPr>
  </w:style>
  <w:style w:type="character" w:styleId="LineNumber">
    <w:name w:val="line number"/>
    <w:basedOn w:val="DefaultParagraphFont"/>
    <w:rPr>
      <w:color w:val="auto"/>
      <w:kern w:val="2"/>
      <w:u w:val="none"/>
    </w:rPr>
  </w:style>
  <w:style w:type="character" w:styleId="FootnoteCharacters">
    <w:name w:val="Footnote Characters"/>
    <w:basedOn w:val="DefaultParagraphFont"/>
    <w:qFormat/>
    <w:rPr>
      <w:b/>
      <w:color w:val="auto"/>
      <w:kern w:val="2"/>
      <w:sz w:val="14"/>
      <w:u w:val="none"/>
      <w:vertAlign w:val="superscript"/>
    </w:rPr>
  </w:style>
  <w:style w:type="paragraph" w:styleId="Heading">
    <w:name w:val="Heading"/>
    <w:basedOn w:val="Normal"/>
    <w:next w:val="BodyText"/>
    <w:qFormat/>
    <w:pPr>
      <w:spacing w:before="240" w:after="60"/>
      <w:jc w:val="center"/>
    </w:pPr>
    <w:rPr>
      <w:rFonts w:ascii="Arial" w:hAnsi="Arial" w:cs="Arial"/>
      <w:b/>
      <w:sz w:val="32"/>
    </w:rPr>
  </w:style>
  <w:style w:type="paragraph" w:styleId="BodyText">
    <w:name w:val="Body Text"/>
    <w:basedOn w:val="Normal"/>
    <w:pPr>
      <w:spacing w:before="0" w:after="120"/>
    </w:pPr>
    <w:rPr/>
  </w:style>
  <w:style w:type="paragraph" w:styleId="List">
    <w:name w:val="List"/>
    <w:basedOn w:val="Normal"/>
    <w:pPr>
      <w:ind w:hanging="283" w:start="283" w:end="0"/>
    </w:pPr>
    <w:rPr/>
  </w:style>
  <w:style w:type="paragraph" w:styleId="Caption">
    <w:name w:val="caption"/>
    <w:basedOn w:val="Normal"/>
    <w:next w:val="Normal"/>
    <w:qFormat/>
    <w:pPr>
      <w:keepNext w:val="true"/>
    </w:pPr>
    <w:rPr>
      <w:b/>
    </w:rPr>
  </w:style>
  <w:style w:type="paragraph" w:styleId="Index">
    <w:name w:val="Index"/>
    <w:basedOn w:val="Normal"/>
    <w:qFormat/>
    <w:pPr>
      <w:suppressLineNumbers/>
    </w:pPr>
    <w:rPr>
      <w:rFonts w:cs="NotoSans NF"/>
    </w:rPr>
  </w:style>
  <w:style w:type="paragraph" w:styleId="FrontSheet">
    <w:name w:val="FrontSheet"/>
    <w:basedOn w:val="Normal"/>
    <w:qFormat/>
    <w:pPr/>
    <w:rPr/>
  </w:style>
  <w:style w:type="paragraph" w:styleId="HeaderandFooter">
    <w:name w:val="Header and Footer"/>
    <w:basedOn w:val="Normal"/>
    <w:qFormat/>
    <w:pPr>
      <w:suppressLineNumbers/>
      <w:tabs>
        <w:tab w:val="clear" w:pos="709"/>
        <w:tab w:val="clear" w:pos="1418"/>
        <w:tab w:val="clear" w:pos="2126"/>
        <w:tab w:val="clear" w:pos="2835"/>
        <w:tab w:val="clear" w:pos="3544"/>
        <w:tab w:val="clear" w:pos="4253"/>
        <w:tab w:val="clear" w:pos="4961"/>
        <w:tab w:val="clear" w:pos="5670"/>
        <w:tab w:val="clear" w:pos="8363"/>
        <w:tab w:val="center" w:pos="4986" w:leader="none"/>
        <w:tab w:val="right" w:pos="9972" w:leader="none"/>
      </w:tabs>
    </w:pPr>
    <w:rPr/>
  </w:style>
  <w:style w:type="paragraph" w:styleId="Header">
    <w:name w:val="header"/>
    <w:basedOn w:val="Normal"/>
    <w:pPr>
      <w:tabs>
        <w:tab w:val="clear" w:pos="709"/>
        <w:tab w:val="left" w:pos="1418" w:leader="none"/>
        <w:tab w:val="left" w:pos="2126" w:leader="none"/>
        <w:tab w:val="left" w:pos="2835" w:leader="none"/>
        <w:tab w:val="left" w:pos="3544" w:leader="none"/>
        <w:tab w:val="center" w:pos="4253" w:leader="none"/>
        <w:tab w:val="left" w:pos="4961" w:leader="none"/>
        <w:tab w:val="left" w:pos="5670" w:leader="none"/>
        <w:tab w:val="right" w:pos="8363" w:leader="none"/>
      </w:tabs>
    </w:pPr>
    <w:rPr/>
  </w:style>
  <w:style w:type="paragraph" w:styleId="Footer">
    <w:name w:val="footer"/>
    <w:basedOn w:val="Normal"/>
    <w:pPr>
      <w:tabs>
        <w:tab w:val="clear" w:pos="709"/>
        <w:tab w:val="clear" w:pos="8363"/>
        <w:tab w:val="left" w:pos="1418" w:leader="none"/>
        <w:tab w:val="left" w:pos="2126" w:leader="none"/>
        <w:tab w:val="left" w:pos="2835" w:leader="none"/>
        <w:tab w:val="left" w:pos="3544" w:leader="none"/>
        <w:tab w:val="center" w:pos="4253" w:leader="none"/>
        <w:tab w:val="left" w:pos="4961" w:leader="none"/>
        <w:tab w:val="left" w:pos="5670" w:leader="none"/>
        <w:tab w:val="right" w:pos="8306" w:leader="none"/>
      </w:tabs>
      <w:jc w:val="center"/>
    </w:pPr>
    <w:rPr>
      <w:sz w:val="12"/>
    </w:rPr>
  </w:style>
  <w:style w:type="paragraph" w:styleId="BodyTextIndent">
    <w:name w:val="Body Text Indent"/>
    <w:basedOn w:val="Normal"/>
    <w:pPr>
      <w:spacing w:before="0" w:after="120"/>
      <w:ind w:hanging="0" w:start="283" w:end="0"/>
    </w:pPr>
    <w:rPr/>
  </w:style>
  <w:style w:type="paragraph" w:styleId="EnvelopeAddress">
    <w:name w:val="envelope address"/>
    <w:basedOn w:val="Normal"/>
    <w:pPr>
      <w:ind w:hanging="0" w:start="2880" w:end="0"/>
    </w:pPr>
    <w:rPr>
      <w:sz w:val="24"/>
    </w:rPr>
  </w:style>
  <w:style w:type="paragraph" w:styleId="Closing">
    <w:name w:val="Closing"/>
    <w:basedOn w:val="Normal"/>
    <w:qFormat/>
    <w:pPr>
      <w:ind w:hanging="0" w:start="4252" w:end="0"/>
    </w:pPr>
    <w:rPr/>
  </w:style>
  <w:style w:type="paragraph" w:styleId="EnvelopeReturn">
    <w:name w:val="envelope return"/>
    <w:basedOn w:val="Normal"/>
    <w:pPr/>
    <w:rPr/>
  </w:style>
  <w:style w:type="paragraph" w:styleId="EndnoteText">
    <w:name w:val="endnote text"/>
    <w:basedOn w:val="Normal"/>
    <w:pPr>
      <w:spacing w:lineRule="atLeast" w:line="220" w:before="0" w:after="200"/>
      <w:ind w:hanging="170" w:start="170" w:end="0"/>
    </w:pPr>
    <w:rPr>
      <w:sz w:val="16"/>
    </w:rPr>
  </w:style>
  <w:style w:type="paragraph" w:styleId="Index1">
    <w:name w:val="index 1"/>
    <w:basedOn w:val="Normal"/>
    <w:next w:val="Normal"/>
    <w:pPr>
      <w:tabs>
        <w:tab w:val="clear" w:pos="709"/>
        <w:tab w:val="clear" w:pos="1418"/>
        <w:tab w:val="clear" w:pos="2126"/>
        <w:tab w:val="clear" w:pos="2835"/>
        <w:tab w:val="clear" w:pos="3544"/>
        <w:tab w:val="clear" w:pos="4253"/>
        <w:tab w:val="clear" w:pos="4961"/>
        <w:tab w:val="clear" w:pos="5670"/>
        <w:tab w:val="right" w:pos="8363" w:leader="dot"/>
      </w:tabs>
      <w:spacing w:before="0" w:after="120"/>
      <w:ind w:hanging="284" w:start="284" w:end="0"/>
    </w:pPr>
    <w:rPr/>
  </w:style>
  <w:style w:type="paragraph" w:styleId="Index2">
    <w:name w:val="index 2"/>
    <w:basedOn w:val="Normal"/>
    <w:next w:val="Normal"/>
    <w:pPr>
      <w:tabs>
        <w:tab w:val="clear" w:pos="709"/>
        <w:tab w:val="clear" w:pos="1418"/>
        <w:tab w:val="clear" w:pos="2126"/>
        <w:tab w:val="clear" w:pos="2835"/>
        <w:tab w:val="clear" w:pos="3544"/>
        <w:tab w:val="clear" w:pos="4253"/>
        <w:tab w:val="clear" w:pos="4961"/>
        <w:tab w:val="clear" w:pos="5670"/>
        <w:tab w:val="right" w:pos="8363" w:leader="dot"/>
      </w:tabs>
      <w:spacing w:before="0" w:after="120"/>
      <w:ind w:hanging="284" w:start="993" w:end="0"/>
    </w:pPr>
    <w:rPr/>
  </w:style>
  <w:style w:type="paragraph" w:styleId="Index3">
    <w:name w:val="index 3"/>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600" w:end="0"/>
    </w:pPr>
    <w:rPr/>
  </w:style>
  <w:style w:type="paragraph" w:styleId="Index4">
    <w:name w:val="Index 4"/>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800" w:end="0"/>
    </w:pPr>
    <w:rPr/>
  </w:style>
  <w:style w:type="paragraph" w:styleId="Index5">
    <w:name w:val="Index 5"/>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000" w:end="0"/>
    </w:pPr>
    <w:rPr/>
  </w:style>
  <w:style w:type="paragraph" w:styleId="Index6">
    <w:name w:val="Index 6"/>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200" w:end="0"/>
    </w:pPr>
    <w:rPr/>
  </w:style>
  <w:style w:type="paragraph" w:styleId="Index7">
    <w:name w:val="Index 7"/>
    <w:basedOn w:val="Normal"/>
    <w:next w:val="Normal"/>
    <w:qFormat/>
    <w:pPr>
      <w:numPr>
        <w:ilvl w:val="0"/>
        <w:numId w:val="2"/>
      </w:numPr>
      <w:tabs>
        <w:tab w:val="clear" w:pos="709"/>
        <w:tab w:val="clear" w:pos="1418"/>
        <w:tab w:val="clear" w:pos="2126"/>
        <w:tab w:val="clear" w:pos="2835"/>
        <w:tab w:val="clear" w:pos="3544"/>
        <w:tab w:val="clear" w:pos="4253"/>
        <w:tab w:val="clear" w:pos="4961"/>
        <w:tab w:val="clear" w:pos="5670"/>
        <w:tab w:val="clear" w:pos="8363"/>
        <w:tab w:val="right" w:pos="8505" w:leader="dot"/>
      </w:tabs>
    </w:pPr>
    <w:rPr/>
  </w:style>
  <w:style w:type="paragraph" w:styleId="Index8">
    <w:name w:val="Index 8"/>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600" w:end="0"/>
    </w:pPr>
    <w:rPr/>
  </w:style>
  <w:style w:type="paragraph" w:styleId="Index9">
    <w:name w:val="Index 9"/>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800" w:end="0"/>
    </w:pPr>
    <w:rPr/>
  </w:style>
  <w:style w:type="paragraph" w:styleId="IndexHeading">
    <w:name w:val="index heading"/>
    <w:basedOn w:val="Normal"/>
    <w:next w:val="Index1"/>
    <w:pPr/>
    <w:rPr/>
  </w:style>
  <w:style w:type="paragraph" w:styleId="ListBullet2">
    <w:name w:val="List Bullet 2"/>
    <w:basedOn w:val="Normal"/>
    <w:pPr>
      <w:ind w:hanging="283" w:start="566" w:end="0"/>
    </w:pPr>
    <w:rPr/>
  </w:style>
  <w:style w:type="paragraph" w:styleId="ListBullet3">
    <w:name w:val="List Bullet 3"/>
    <w:basedOn w:val="Normal"/>
    <w:pPr>
      <w:ind w:hanging="283" w:start="849" w:end="0"/>
    </w:pPr>
    <w:rPr/>
  </w:style>
  <w:style w:type="paragraph" w:styleId="ListBullet4">
    <w:name w:val="List Bullet 4"/>
    <w:basedOn w:val="Normal"/>
    <w:pPr>
      <w:ind w:hanging="283" w:start="1132" w:end="0"/>
    </w:pPr>
    <w:rPr/>
  </w:style>
  <w:style w:type="paragraph" w:styleId="ListBullet5">
    <w:name w:val="List Bullet 5"/>
    <w:basedOn w:val="Normal"/>
    <w:pPr>
      <w:ind w:hanging="283" w:start="1415" w:end="0"/>
    </w:pPr>
    <w:rPr/>
  </w:style>
  <w:style w:type="paragraph" w:styleId="ListContinue">
    <w:name w:val="List Continue"/>
    <w:basedOn w:val="Normal"/>
    <w:qFormat/>
    <w:pPr>
      <w:spacing w:before="0" w:after="120"/>
      <w:ind w:hanging="0" w:start="283" w:end="0"/>
    </w:pPr>
    <w:rPr/>
  </w:style>
  <w:style w:type="paragraph" w:styleId="ListContinue2">
    <w:name w:val="List Continue 2"/>
    <w:basedOn w:val="Normal"/>
    <w:qFormat/>
    <w:pPr>
      <w:spacing w:before="0" w:after="120"/>
      <w:ind w:hanging="0" w:start="566" w:end="0"/>
    </w:pPr>
    <w:rPr/>
  </w:style>
  <w:style w:type="paragraph" w:styleId="ListContinue3">
    <w:name w:val="List Continue 3"/>
    <w:basedOn w:val="Normal"/>
    <w:qFormat/>
    <w:pPr>
      <w:spacing w:before="0" w:after="120"/>
      <w:ind w:hanging="0" w:start="849" w:end="0"/>
    </w:pPr>
    <w:rPr/>
  </w:style>
  <w:style w:type="paragraph" w:styleId="ListContinue4">
    <w:name w:val="List Continue 4"/>
    <w:basedOn w:val="Normal"/>
    <w:qFormat/>
    <w:pPr>
      <w:spacing w:before="0" w:after="120"/>
      <w:ind w:hanging="0" w:start="1132" w:end="0"/>
    </w:pPr>
    <w:rPr/>
  </w:style>
  <w:style w:type="paragraph" w:styleId="ListContinue5">
    <w:name w:val="List Continue 5"/>
    <w:basedOn w:val="Normal"/>
    <w:qFormat/>
    <w:pPr>
      <w:spacing w:before="0" w:after="120"/>
      <w:ind w:hanging="0" w:start="1415" w:end="0"/>
    </w:pPr>
    <w:rPr/>
  </w:style>
  <w:style w:type="paragraph" w:styleId="ListNumber">
    <w:name w:val="List Number"/>
    <w:basedOn w:val="Normal"/>
    <w:qFormat/>
    <w:pPr>
      <w:numPr>
        <w:ilvl w:val="0"/>
        <w:numId w:val="7"/>
      </w:numPr>
      <w:ind w:hanging="283" w:start="283" w:end="0"/>
    </w:pPr>
    <w:rPr/>
  </w:style>
  <w:style w:type="paragraph" w:styleId="ListNumber2">
    <w:name w:val="List Number 2"/>
    <w:basedOn w:val="Normal"/>
    <w:qFormat/>
    <w:pPr>
      <w:numPr>
        <w:ilvl w:val="0"/>
        <w:numId w:val="8"/>
      </w:numPr>
      <w:ind w:hanging="283" w:start="566" w:end="0"/>
    </w:pPr>
    <w:rPr/>
  </w:style>
  <w:style w:type="paragraph" w:styleId="ListNumber3">
    <w:name w:val="List Number 3"/>
    <w:basedOn w:val="Normal"/>
    <w:qFormat/>
    <w:pPr>
      <w:numPr>
        <w:ilvl w:val="0"/>
        <w:numId w:val="9"/>
      </w:numPr>
      <w:ind w:hanging="283" w:start="849" w:end="0"/>
    </w:pPr>
    <w:rPr/>
  </w:style>
  <w:style w:type="paragraph" w:styleId="ListNumber4">
    <w:name w:val="List Number 4"/>
    <w:basedOn w:val="Normal"/>
    <w:qFormat/>
    <w:pPr>
      <w:numPr>
        <w:ilvl w:val="0"/>
        <w:numId w:val="10"/>
      </w:numPr>
      <w:ind w:hanging="283" w:start="1132" w:end="0"/>
    </w:pPr>
    <w:rPr/>
  </w:style>
  <w:style w:type="paragraph" w:styleId="ListNumber5">
    <w:name w:val="List Number 5"/>
    <w:basedOn w:val="Normal"/>
    <w:qFormat/>
    <w:pPr>
      <w:numPr>
        <w:ilvl w:val="0"/>
        <w:numId w:val="11"/>
      </w:numPr>
      <w:ind w:hanging="283" w:start="1415" w:end="0"/>
    </w:pPr>
    <w:rPr/>
  </w:style>
  <w:style w:type="paragraph" w:styleId="MessageHeader">
    <w:name w:val="Message Header"/>
    <w:basedOn w:val="Normal"/>
    <w:qFormat/>
    <w:pPr>
      <w:ind w:hanging="1134" w:start="1134" w:end="0"/>
    </w:pPr>
    <w:rPr>
      <w:rFonts w:ascii="Arial" w:hAnsi="Arial" w:cs="Arial"/>
      <w:sz w:val="24"/>
    </w:rPr>
  </w:style>
  <w:style w:type="paragraph" w:styleId="Signature">
    <w:name w:val="Signature"/>
    <w:basedOn w:val="Normal"/>
    <w:pPr>
      <w:ind w:hanging="0" w:start="4252" w:end="0"/>
    </w:pPr>
    <w:rPr/>
  </w:style>
  <w:style w:type="paragraph" w:styleId="Subtitle">
    <w:name w:val="Subtitle"/>
    <w:basedOn w:val="Normal"/>
    <w:next w:val="BodyText"/>
    <w:qFormat/>
    <w:pPr>
      <w:spacing w:before="0" w:after="60"/>
      <w:jc w:val="center"/>
    </w:pPr>
    <w:rPr>
      <w:rFonts w:ascii="Arial" w:hAnsi="Arial" w:cs="Arial"/>
      <w:i/>
      <w:sz w:val="24"/>
    </w:rPr>
  </w:style>
  <w:style w:type="paragraph" w:styleId="TOAHeading">
    <w:name w:val="TOA Heading"/>
    <w:basedOn w:val="Normal"/>
    <w:next w:val="Normal"/>
    <w:qFormat/>
    <w:pPr>
      <w:spacing w:before="120" w:after="280"/>
    </w:pPr>
    <w:rPr>
      <w:rFonts w:ascii="Arial" w:hAnsi="Arial" w:cs="Arial"/>
      <w:b/>
      <w:sz w:val="24"/>
    </w:rPr>
  </w:style>
  <w:style w:type="paragraph" w:styleId="TOC1">
    <w:name w:val="toc 1"/>
    <w:basedOn w:val="Normal"/>
    <w:next w:val="Normal"/>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OC2">
    <w:name w:val="toc 2"/>
    <w:basedOn w:val="Normal"/>
    <w:next w:val="Normal"/>
    <w:pPr>
      <w:tabs>
        <w:tab w:val="clear" w:pos="709"/>
        <w:tab w:val="clear" w:pos="2126"/>
        <w:tab w:val="clear" w:pos="2835"/>
        <w:tab w:val="clear" w:pos="3544"/>
        <w:tab w:val="clear" w:pos="4253"/>
        <w:tab w:val="clear" w:pos="4961"/>
        <w:tab w:val="clear" w:pos="5670"/>
        <w:tab w:val="left" w:pos="1418" w:leader="none"/>
        <w:tab w:val="right" w:pos="8363" w:leader="none"/>
      </w:tabs>
      <w:ind w:hanging="0" w:start="709" w:end="0"/>
    </w:pPr>
    <w:rPr/>
  </w:style>
  <w:style w:type="paragraph" w:styleId="TOC3">
    <w:name w:val="toc 3"/>
    <w:basedOn w:val="Normal"/>
    <w:next w:val="Normal"/>
    <w:pPr>
      <w:tabs>
        <w:tab w:val="clear" w:pos="709"/>
        <w:tab w:val="clear" w:pos="2126"/>
        <w:tab w:val="clear" w:pos="2835"/>
        <w:tab w:val="clear" w:pos="3544"/>
        <w:tab w:val="clear" w:pos="4253"/>
        <w:tab w:val="clear" w:pos="4961"/>
        <w:tab w:val="clear" w:pos="5670"/>
        <w:tab w:val="left" w:pos="1418" w:leader="none"/>
        <w:tab w:val="right" w:pos="8363" w:leader="none"/>
      </w:tabs>
      <w:ind w:hanging="0" w:start="709" w:end="0"/>
    </w:pPr>
    <w:rPr/>
  </w:style>
  <w:style w:type="paragraph" w:styleId="TOC4">
    <w:name w:val="toc 4"/>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600" w:end="0"/>
    </w:pPr>
    <w:rPr/>
  </w:style>
  <w:style w:type="paragraph" w:styleId="TOC5">
    <w:name w:val="toc 5"/>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800" w:end="0"/>
    </w:pPr>
    <w:rPr/>
  </w:style>
  <w:style w:type="paragraph" w:styleId="TOC6">
    <w:name w:val="toc 6"/>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000" w:end="0"/>
    </w:pPr>
    <w:rPr/>
  </w:style>
  <w:style w:type="paragraph" w:styleId="TOC7">
    <w:name w:val="toc 7"/>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200" w:end="0"/>
    </w:pPr>
    <w:rPr/>
  </w:style>
  <w:style w:type="paragraph" w:styleId="TOC8">
    <w:name w:val="toc 8"/>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400" w:end="0"/>
    </w:pPr>
    <w:rPr/>
  </w:style>
  <w:style w:type="paragraph" w:styleId="TOC9">
    <w:name w:val="toc 9"/>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600" w:end="0"/>
    </w:pPr>
    <w:rPr/>
  </w:style>
  <w:style w:type="paragraph" w:styleId="BackSheet">
    <w:name w:val="BackSheet"/>
    <w:basedOn w:val="Normal"/>
    <w:qFormat/>
    <w:pPr>
      <w:ind w:hanging="0" w:start="4253" w:end="0"/>
    </w:pPr>
    <w:rPr>
      <w:kern w:val="0"/>
    </w:rPr>
  </w:style>
  <w:style w:type="paragraph" w:styleId="FootnoteText">
    <w:name w:val="footnote text"/>
    <w:basedOn w:val="Normal"/>
    <w:pPr>
      <w:spacing w:lineRule="atLeast" w:line="220" w:before="0" w:after="200"/>
      <w:ind w:hanging="170" w:start="170" w:end="0"/>
    </w:pPr>
    <w:rPr>
      <w:sz w:val="16"/>
    </w:rPr>
  </w:style>
  <w:style w:type="paragraph" w:styleId="WW-Heading">
    <w:name w:val="WW-Heading"/>
    <w:basedOn w:val="Normal"/>
    <w:next w:val="Normal"/>
    <w:qFormat/>
    <w:pPr>
      <w:keepNext w:val="true"/>
      <w:keepLines/>
    </w:pPr>
    <w:rPr/>
  </w:style>
  <w:style w:type="paragraph" w:styleId="Indent1">
    <w:name w:val="Indent1"/>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567" w:start="1418" w:end="0"/>
    </w:pPr>
    <w:rPr/>
  </w:style>
  <w:style w:type="paragraph" w:styleId="indent2">
    <w:name w:val="indent2"/>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0" w:start="1418" w:end="0"/>
    </w:pPr>
    <w:rPr/>
  </w:style>
  <w:style w:type="paragraph" w:styleId="ListBullet">
    <w:name w:val="List Bullet"/>
    <w:basedOn w:val="Normal"/>
    <w:qFormat/>
    <w:pPr>
      <w:numPr>
        <w:ilvl w:val="0"/>
        <w:numId w:val="12"/>
      </w:numPr>
      <w:ind w:hanging="283" w:start="283" w:end="0"/>
    </w:pPr>
    <w:rPr/>
  </w:style>
  <w:style w:type="paragraph" w:styleId="ListBullet21">
    <w:name w:val="List Bullet 21"/>
    <w:basedOn w:val="Normal"/>
    <w:qFormat/>
    <w:pPr>
      <w:numPr>
        <w:ilvl w:val="0"/>
        <w:numId w:val="13"/>
      </w:numPr>
      <w:ind w:hanging="283" w:start="566" w:end="0"/>
    </w:pPr>
    <w:rPr/>
  </w:style>
  <w:style w:type="paragraph" w:styleId="ListBullet31">
    <w:name w:val="List Bullet 31"/>
    <w:basedOn w:val="Normal"/>
    <w:qFormat/>
    <w:pPr>
      <w:numPr>
        <w:ilvl w:val="0"/>
        <w:numId w:val="14"/>
      </w:numPr>
      <w:ind w:hanging="283" w:start="849" w:end="0"/>
    </w:pPr>
    <w:rPr/>
  </w:style>
  <w:style w:type="paragraph" w:styleId="ListBullet41">
    <w:name w:val="List Bullet 41"/>
    <w:basedOn w:val="Normal"/>
    <w:qFormat/>
    <w:pPr>
      <w:numPr>
        <w:ilvl w:val="0"/>
        <w:numId w:val="15"/>
      </w:numPr>
      <w:ind w:hanging="283" w:start="1132" w:end="0"/>
    </w:pPr>
    <w:rPr/>
  </w:style>
  <w:style w:type="paragraph" w:styleId="ListBullet51">
    <w:name w:val="List Bullet 51"/>
    <w:basedOn w:val="Normal"/>
    <w:qFormat/>
    <w:pPr>
      <w:numPr>
        <w:ilvl w:val="0"/>
        <w:numId w:val="16"/>
      </w:numPr>
      <w:ind w:hanging="283" w:start="1415"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atLeast" w:line="160"/>
    </w:pPr>
    <w:rPr>
      <w:rFonts w:ascii="Courier New" w:hAnsi="Courier New" w:eastAsia="Times New Roman" w:cs="Courier New"/>
      <w:color w:val="auto"/>
      <w:sz w:val="16"/>
      <w:szCs w:val="20"/>
      <w:lang w:val="en-GB" w:eastAsia="zh-CN" w:bidi="hi-IN"/>
    </w:rPr>
  </w:style>
  <w:style w:type="paragraph" w:styleId="NormalIndent">
    <w:name w:val="Normal Indent"/>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0" w:start="851" w:end="0"/>
    </w:pPr>
    <w:rPr/>
  </w:style>
  <w:style w:type="paragraph" w:styleId="Quote">
    <w:name w:val="Quote"/>
    <w:basedOn w:val="Normal"/>
    <w:next w:val="Normal"/>
    <w:qFormat/>
    <w:pPr>
      <w:spacing w:lineRule="atLeast" w:line="240"/>
      <w:ind w:hanging="0" w:start="1418" w:end="0"/>
    </w:pPr>
    <w:rPr/>
  </w:style>
  <w:style w:type="paragraph" w:styleId="TableofAuthorities">
    <w:name w:val="Table of Authorities"/>
    <w:basedOn w:val="Normal"/>
    <w:next w:val="Normal"/>
    <w:qFormat/>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ableofFigures">
    <w:name w:val="Table of Figures"/>
    <w:basedOn w:val="Normal"/>
    <w:next w:val="Normal"/>
    <w:qFormat/>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itleTOC">
    <w:name w:val="TitleTOC"/>
    <w:basedOn w:val="Normal"/>
    <w:qFormat/>
    <w:pPr>
      <w:jc w:val="center"/>
    </w:pPr>
    <w:rPr>
      <w:b/>
    </w:rPr>
  </w:style>
  <w:style w:type="paragraph" w:styleId="AnnotationText">
    <w:name w:val="Annotation Text"/>
    <w:basedOn w:val="Normal"/>
    <w:qFormat/>
    <w:pPr>
      <w:spacing w:lineRule="atLeast" w:line="220" w:before="0" w:after="200"/>
      <w:ind w:hanging="170" w:start="170" w:end="0"/>
    </w:pPr>
    <w:rPr>
      <w:sz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Document Layouts.dot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2000-02-17T18:18:00Z</dcterms:created>
  <dc:creator>PDᄀ矶¸_x0014_㕠矺ቊ矶p_x0002_</dc:creator>
  <dc:description/>
  <dc:language>en-CA</dc:language>
  <cp:lastModifiedBy>Administrator</cp:lastModifiedBy>
  <cp:lastPrinted>2000-02-16T12:04:00Z</cp:lastPrinted>
  <dcterms:modified xsi:type="dcterms:W3CDTF">2000-02-17T18:18:00Z</dcterms:modified>
  <cp:revision>2</cp:revision>
  <dc:subject/>
  <dc:title>Document Layouts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Author">
    <vt:lpwstr>SDXW</vt:lpwstr>
  </property>
  <property fmtid="{D5CDD505-2E9C-101B-9397-08002B2CF9AE}" pid="3" name="udp_BorderStyle">
    <vt:lpwstr>None</vt:lpwstr>
  </property>
  <property fmtid="{D5CDD505-2E9C-101B-9397-08002B2CF9AE}" pid="4" name="udp_CMNumber">
    <vt:lpwstr>214686/11161</vt:lpwstr>
  </property>
  <property fmtid="{D5CDD505-2E9C-101B-9397-08002B2CF9AE}" pid="5" name="udp_CatID">
    <vt:lpwstr> </vt:lpwstr>
  </property>
  <property fmtid="{D5CDD505-2E9C-101B-9397-08002B2CF9AE}" pid="6" name="udp_Class">
    <vt:lpwstr>SE</vt:lpwstr>
  </property>
  <property fmtid="{D5CDD505-2E9C-101B-9397-08002B2CF9AE}" pid="7" name="udp_Client">
    <vt:lpwstr>ENRON</vt:lpwstr>
  </property>
  <property fmtid="{D5CDD505-2E9C-101B-9397-08002B2CF9AE}" pid="8" name="udp_Department">
    <vt:lpwstr> </vt:lpwstr>
  </property>
  <property fmtid="{D5CDD505-2E9C-101B-9397-08002B2CF9AE}" pid="9" name="udp_DocID">
    <vt:lpwstr>CD003678918</vt:lpwstr>
  </property>
  <property fmtid="{D5CDD505-2E9C-101B-9397-08002B2CF9AE}" pid="10" name="udp_IsAtlasDoc">
    <vt:bool>1</vt:bool>
  </property>
  <property fmtid="{D5CDD505-2E9C-101B-9397-08002B2CF9AE}" pid="11" name="udp_Justified">
    <vt:bool>0</vt:bool>
  </property>
  <property fmtid="{D5CDD505-2E9C-101B-9397-08002B2CF9AE}" pid="12" name="udp_Layout">
    <vt:lpwstr>Slaughter and May 1</vt:lpwstr>
  </property>
  <property fmtid="{D5CDD505-2E9C-101B-9397-08002B2CF9AE}" pid="13" name="udp_Matter">
    <vt:lpwstr>On-line Trading</vt:lpwstr>
  </property>
  <property fmtid="{D5CDD505-2E9C-101B-9397-08002B2CF9AE}" pid="14" name="udp_Renumber">
    <vt:bool>0</vt:bool>
  </property>
  <property fmtid="{D5CDD505-2E9C-101B-9397-08002B2CF9AE}" pid="15" name="udp_TemplateVersion">
    <vt:lpwstr>1.02.0001</vt:lpwstr>
  </property>
  <property fmtid="{D5CDD505-2E9C-101B-9397-08002B2CF9AE}" pid="16" name="udp_Typist">
    <vt:lpwstr>PD</vt:lpwstr>
  </property>
  <property fmtid="{D5CDD505-2E9C-101B-9397-08002B2CF9AE}" pid="17" name="udp_Version">
    <vt:lpwstr>3</vt:lpwstr>
  </property>
</Properties>
</file>