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4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40"/>
      </w:tblGrid>
      <w:tr>
        <w:trPr>
          <w:trHeight w:val="670" w:hRule="atLeast"/>
        </w:trPr>
        <w:tc>
          <w:tcPr>
            <w:tcW w:w="10440" w:type="dxa"/>
            <w:tcBorders>
              <w:top w:val="double" w:sz="18" w:space="0" w:color="000000"/>
              <w:start w:val="double" w:sz="18" w:space="0" w:color="000000"/>
              <w:bottom w:val="double" w:sz="18" w:space="0" w:color="000000"/>
              <w:end w:val="double" w:sz="18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mallCaps/>
                <w:sz w:val="32"/>
              </w:rPr>
              <w:t>Tax Foundation’s 63</w:t>
            </w:r>
            <w:r>
              <w:rPr>
                <w:rFonts w:cs="Arial" w:ascii="Arial" w:hAnsi="Arial"/>
                <w:b/>
                <w:smallCaps/>
                <w:sz w:val="32"/>
                <w:vertAlign w:val="superscript"/>
              </w:rPr>
              <w:t>rd</w:t>
            </w:r>
            <w:r>
              <w:rPr>
                <w:rFonts w:cs="Arial" w:ascii="Arial" w:hAnsi="Arial"/>
                <w:b/>
                <w:smallCaps/>
                <w:sz w:val="32"/>
              </w:rPr>
              <w:t xml:space="preserve"> National Conference and Annual Dinner</w:t>
            </w:r>
          </w:p>
          <w:p>
            <w:pPr>
              <w:pStyle w:val="Normal"/>
              <w:rPr>
                <w:rFonts w:ascii="Arial" w:hAnsi="Arial" w:cs="Arial"/>
                <w:b/>
                <w:smallCaps/>
                <w:sz w:val="22"/>
              </w:rPr>
            </w:pPr>
            <w:r>
              <w:rPr>
                <w:rFonts w:cs="Arial" w:ascii="Arial" w:hAnsi="Arial"/>
                <w:b/>
                <w:smallCaps/>
              </w:rPr>
              <w:t xml:space="preserve">Thursday, November 16, 2000 – </w:t>
            </w:r>
            <w:r>
              <w:rPr>
                <w:rFonts w:cs="Arial" w:ascii="Arial" w:hAnsi="Arial"/>
                <w:b/>
                <w:smallCaps/>
                <w:sz w:val="28"/>
              </w:rPr>
              <w:t>Four Seasons Hotel, Washington, DC</w:t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4"/>
        <w:ind w:hanging="0" w:start="0"/>
        <w:jc w:val="center"/>
        <w:rPr>
          <w:rFonts w:ascii="Arial" w:hAnsi="Arial" w:cs="Arial"/>
        </w:rPr>
      </w:pPr>
      <w:r>
        <w:rPr>
          <w:rFonts w:cs="Arial" w:ascii="Arial" w:hAnsi="Arial"/>
        </w:rPr>
        <w:t>Corporate Tax Shelters</w:t>
      </w:r>
    </w:p>
    <w:p>
      <w:pPr>
        <w:pStyle w:val="Normal"/>
        <w:tabs>
          <w:tab w:val="clear" w:pos="720"/>
          <w:tab w:val="left" w:pos="1080" w:leader="none"/>
          <w:tab w:val="left" w:pos="1440" w:leader="none"/>
        </w:tabs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11:30 a.m.</w:t>
        <w:tab/>
        <w:t>Registration</w:t>
      </w:r>
    </w:p>
    <w:p>
      <w:pPr>
        <w:pStyle w:val="Normal"/>
        <w:tabs>
          <w:tab w:val="clear" w:pos="720"/>
          <w:tab w:val="left" w:pos="1080" w:leader="none"/>
          <w:tab w:val="left" w:pos="1440" w:leader="none"/>
        </w:tabs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12:00 p.m.</w:t>
        <w:tab/>
        <w:t>Buffet Lunch</w:t>
      </w:r>
    </w:p>
    <w:p>
      <w:pPr>
        <w:pStyle w:val="Normal"/>
        <w:tabs>
          <w:tab w:val="clear" w:pos="720"/>
          <w:tab w:val="left" w:pos="1080" w:leader="none"/>
          <w:tab w:val="left" w:pos="1440" w:leader="none"/>
        </w:tabs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12:25 p.m.</w:t>
        <w:tab/>
        <w:t>Welcome and Introduction</w:t>
      </w:r>
    </w:p>
    <w:p>
      <w:pPr>
        <w:pStyle w:val="Normal"/>
        <w:tabs>
          <w:tab w:val="clear" w:pos="720"/>
          <w:tab w:val="left" w:pos="1080" w:leader="none"/>
          <w:tab w:val="left" w:pos="1440" w:leader="none"/>
        </w:tabs>
        <w:ind w:hanging="2160" w:start="2160" w:end="0"/>
        <w:jc w:val="star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12:30 p.m.</w:t>
        <w:tab/>
        <w:t>Keynote Address:</w:t>
      </w:r>
    </w:p>
    <w:p>
      <w:pPr>
        <w:pStyle w:val="Normal"/>
        <w:tabs>
          <w:tab w:val="clear" w:pos="720"/>
          <w:tab w:val="left" w:pos="1080" w:leader="none"/>
          <w:tab w:val="left" w:pos="1440" w:leader="none"/>
        </w:tabs>
        <w:ind w:hanging="2160" w:start="2160" w:end="0"/>
        <w:jc w:val="start"/>
        <w:rPr/>
      </w:pPr>
      <w:r>
        <w:rPr>
          <w:rFonts w:cs="Arial" w:ascii="Arial" w:hAnsi="Arial"/>
          <w:sz w:val="20"/>
        </w:rPr>
        <w:tab/>
        <w:tab/>
        <w:t xml:space="preserve"> Secretary </w:t>
      </w:r>
      <w:r>
        <w:rPr>
          <w:rFonts w:cs="Arial" w:ascii="Arial" w:hAnsi="Arial"/>
          <w:sz w:val="18"/>
        </w:rPr>
        <w:t>Lawrence H. Summers, Secretary of the Treasury</w:t>
      </w:r>
    </w:p>
    <w:p>
      <w:pPr>
        <w:pStyle w:val="Normal"/>
        <w:tabs>
          <w:tab w:val="clear" w:pos="720"/>
          <w:tab w:val="left" w:pos="1080" w:leader="none"/>
          <w:tab w:val="left" w:pos="1440" w:leader="none"/>
        </w:tabs>
        <w:ind w:hanging="2160" w:start="2160" w:end="0"/>
        <w:jc w:val="star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1:30 p.m.</w:t>
        <w:tab/>
        <w:t>Panel One:  Drawing the Line Between Legitimate Business Transactions and Tax Shelters</w:t>
      </w:r>
    </w:p>
    <w:p>
      <w:pPr>
        <w:pStyle w:val="BodyText3"/>
        <w:tabs>
          <w:tab w:val="clear" w:pos="1440"/>
          <w:tab w:val="clear" w:pos="1800"/>
          <w:tab w:val="left" w:pos="540" w:leader="none"/>
          <w:tab w:val="left" w:pos="1620" w:leader="none"/>
        </w:tabs>
        <w:ind w:end="-72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Moderator:</w:t>
      </w:r>
      <w:r>
        <w:rPr>
          <w:rFonts w:cs="Arial" w:ascii="Arial" w:hAnsi="Arial"/>
        </w:rPr>
        <w:tab/>
      </w:r>
      <w:r>
        <w:rPr>
          <w:rFonts w:cs="Arial" w:ascii="Arial" w:hAnsi="Arial"/>
          <w:sz w:val="18"/>
        </w:rPr>
        <w:t>Joseph O. Luby, Jr., Assistant General Tax Counsel, ExxonMobil Corporation</w:t>
      </w:r>
    </w:p>
    <w:p>
      <w:pPr>
        <w:pStyle w:val="BodyText3"/>
        <w:tabs>
          <w:tab w:val="clear" w:pos="1440"/>
          <w:tab w:val="clear" w:pos="1800"/>
          <w:tab w:val="left" w:pos="540" w:leader="none"/>
          <w:tab w:val="left" w:pos="1620" w:leader="none"/>
        </w:tabs>
        <w:ind w:end="-72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Panelists: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sz w:val="18"/>
        </w:rPr>
        <w:t>Kenneth Kies, Managing Partner and Chair of the Federal Tax Policy Group, PricewaterhouseCoopers LLP</w:t>
      </w:r>
    </w:p>
    <w:p>
      <w:pPr>
        <w:pStyle w:val="Normal"/>
        <w:tabs>
          <w:tab w:val="left" w:pos="720" w:leader="none"/>
          <w:tab w:val="left" w:pos="1620" w:leader="none"/>
        </w:tabs>
        <w:jc w:val="start"/>
        <w:rPr/>
      </w:pPr>
      <w:r>
        <w:rPr>
          <w:rFonts w:cs="Arial" w:ascii="Arial" w:hAnsi="Arial"/>
          <w:sz w:val="20"/>
        </w:rPr>
        <w:tab/>
        <w:tab/>
      </w:r>
      <w:r>
        <w:rPr>
          <w:rFonts w:cs="Arial" w:ascii="Arial" w:hAnsi="Arial"/>
          <w:sz w:val="18"/>
        </w:rPr>
        <w:t>John E. Chapoton, Esq., Managing Partner, Vinson &amp; Elkins L.L.P.</w:t>
      </w:r>
    </w:p>
    <w:p>
      <w:pPr>
        <w:pStyle w:val="Normal"/>
        <w:tabs>
          <w:tab w:val="clear" w:pos="720"/>
          <w:tab w:val="left" w:pos="1080" w:leader="none"/>
          <w:tab w:val="left" w:pos="1620" w:leader="none"/>
        </w:tabs>
        <w:jc w:val="start"/>
        <w:rPr/>
      </w:pPr>
      <w:r>
        <w:rPr>
          <w:rFonts w:cs="Arial" w:ascii="Arial" w:hAnsi="Arial"/>
          <w:sz w:val="20"/>
        </w:rPr>
        <w:tab/>
        <w:tab/>
      </w:r>
      <w:r>
        <w:rPr>
          <w:rFonts w:cs="Arial" w:ascii="Arial" w:hAnsi="Arial"/>
          <w:sz w:val="18"/>
        </w:rPr>
        <w:t>Ronald Pearlman, Professor of Law, Georgetown University Law School</w:t>
      </w:r>
    </w:p>
    <w:p>
      <w:pPr>
        <w:pStyle w:val="Normal"/>
        <w:tabs>
          <w:tab w:val="clear" w:pos="720"/>
          <w:tab w:val="left" w:pos="1080" w:leader="none"/>
          <w:tab w:val="left" w:pos="1440" w:leader="none"/>
        </w:tabs>
        <w:jc w:val="star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2:45 p.m.</w:t>
        <w:tab/>
        <w:t>Panel Two:  The Legislative Outlook</w:t>
      </w:r>
    </w:p>
    <w:p>
      <w:pPr>
        <w:pStyle w:val="Normal"/>
        <w:tabs>
          <w:tab w:val="clear" w:pos="720"/>
          <w:tab w:val="left" w:pos="540" w:leader="none"/>
          <w:tab w:val="left" w:pos="1620" w:leader="none"/>
        </w:tabs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sz w:val="20"/>
        </w:rPr>
        <w:t>Moderator: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sz w:val="18"/>
        </w:rPr>
        <w:t>Richard A. Grafmeyer, Partner, Washington Tax Services, Arthur Andersen LLP</w:t>
      </w:r>
    </w:p>
    <w:p>
      <w:pPr>
        <w:pStyle w:val="Normal"/>
        <w:tabs>
          <w:tab w:val="clear" w:pos="720"/>
          <w:tab w:val="left" w:pos="540" w:leader="none"/>
          <w:tab w:val="left" w:pos="1620" w:leader="none"/>
        </w:tabs>
        <w:jc w:val="start"/>
        <w:rPr/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sz w:val="20"/>
        </w:rPr>
        <w:t>Panelists: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sz w:val="18"/>
        </w:rPr>
        <w:t>Timothy Hanford, Tax Counsel, House Committee on Ways and Means</w:t>
      </w:r>
    </w:p>
    <w:p>
      <w:pPr>
        <w:pStyle w:val="BodyText3"/>
        <w:tabs>
          <w:tab w:val="clear" w:pos="1440"/>
          <w:tab w:val="clear" w:pos="1800"/>
          <w:tab w:val="left" w:pos="1080" w:leader="none"/>
          <w:tab w:val="left" w:pos="1620" w:leader="none"/>
        </w:tabs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sz w:val="18"/>
        </w:rPr>
        <w:t>Mark Prater, Majority Chief Tax Counsel, Senate Committee on Finance</w:t>
      </w:r>
    </w:p>
    <w:p>
      <w:pPr>
        <w:pStyle w:val="Normal"/>
        <w:tabs>
          <w:tab w:val="clear" w:pos="720"/>
          <w:tab w:val="left" w:pos="1080" w:leader="none"/>
          <w:tab w:val="left" w:pos="1620" w:leader="none"/>
        </w:tabs>
        <w:ind w:start="1080" w:end="0"/>
        <w:jc w:val="start"/>
        <w:rPr/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sz w:val="18"/>
        </w:rPr>
        <w:t>Russ Sullivan, Minority Chief Tax Counsel, Senate Committee on Finance</w:t>
      </w:r>
    </w:p>
    <w:p>
      <w:pPr>
        <w:pStyle w:val="Normal"/>
        <w:tabs>
          <w:tab w:val="clear" w:pos="720"/>
          <w:tab w:val="left" w:pos="1080" w:leader="none"/>
          <w:tab w:val="left" w:pos="1440" w:leader="none"/>
        </w:tabs>
        <w:jc w:val="star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4:00 p.m.</w:t>
        <w:tab/>
        <w:t>The Judicial Outlook</w:t>
      </w:r>
    </w:p>
    <w:p>
      <w:pPr>
        <w:pStyle w:val="Normal"/>
        <w:tabs>
          <w:tab w:val="clear" w:pos="720"/>
          <w:tab w:val="left" w:pos="1080" w:leader="none"/>
          <w:tab w:val="left" w:pos="1620" w:leader="none"/>
        </w:tabs>
        <w:jc w:val="start"/>
        <w:rPr/>
      </w:pPr>
      <w:r>
        <w:rPr>
          <w:rFonts w:cs="Arial" w:ascii="Arial" w:hAnsi="Arial"/>
          <w:b/>
          <w:sz w:val="20"/>
        </w:rPr>
        <w:tab/>
        <w:tab/>
      </w:r>
      <w:r>
        <w:rPr>
          <w:rFonts w:cs="Arial" w:ascii="Arial" w:hAnsi="Arial"/>
          <w:sz w:val="18"/>
        </w:rPr>
        <w:t>Judge David Laro, United States Tax Court</w:t>
      </w:r>
    </w:p>
    <w:p>
      <w:pPr>
        <w:pStyle w:val="Normal"/>
        <w:jc w:val="start"/>
        <w:rPr/>
      </w:pPr>
      <w:r>
        <w:rPr/>
        <w:t>4:30 p.m.</w:t>
        <w:tab/>
        <w:t>Closing Remarks</w:t>
      </w:r>
    </w:p>
    <w:tbl>
      <w:tblPr>
        <w:tblW w:w="1044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40"/>
      </w:tblGrid>
      <w:tr>
        <w:trPr>
          <w:trHeight w:val="1642" w:hRule="atLeast"/>
        </w:trPr>
        <w:tc>
          <w:tcPr>
            <w:tcW w:w="10440" w:type="dxa"/>
            <w:tcBorders>
              <w:top w:val="double" w:sz="18" w:space="0" w:color="000000"/>
              <w:start w:val="double" w:sz="18" w:space="0" w:color="000000"/>
              <w:bottom w:val="double" w:sz="18" w:space="0" w:color="000000"/>
              <w:end w:val="double" w:sz="18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mallCaps/>
              </w:rPr>
              <w:t>Tax Foundation’s 63</w:t>
            </w:r>
            <w:r>
              <w:rPr>
                <w:rFonts w:cs="Arial" w:ascii="Arial" w:hAnsi="Arial"/>
                <w:b/>
                <w:smallCaps/>
                <w:vertAlign w:val="superscript"/>
              </w:rPr>
              <w:t>rd</w:t>
            </w:r>
            <w:r>
              <w:rPr>
                <w:rFonts w:cs="Arial" w:ascii="Arial" w:hAnsi="Arial"/>
                <w:b/>
                <w:smallCaps/>
              </w:rPr>
              <w:t xml:space="preserve"> Annual Dinner</w:t>
            </w:r>
          </w:p>
          <w:p>
            <w:pPr>
              <w:pStyle w:val="Heading8"/>
              <w:tabs>
                <w:tab w:val="clear" w:pos="1080"/>
                <w:tab w:val="clear" w:pos="1440"/>
              </w:tabs>
              <w:ind w:hanging="0" w:start="0"/>
              <w:rPr>
                <w:i/>
                <w:i/>
                <w:smallCaps/>
              </w:rPr>
            </w:pPr>
            <w:r>
              <w:rPr>
                <w:i/>
                <w:smallCaps/>
              </w:rPr>
              <w:t>Thursday, November 16, 2000 – Four Seasons Hotel, Washington, DC</w:t>
            </w:r>
          </w:p>
          <w:p>
            <w:pPr>
              <w:pStyle w:val="Heading8"/>
              <w:tabs>
                <w:tab w:val="clear" w:pos="1080"/>
                <w:tab w:val="clear" w:pos="1440"/>
              </w:tabs>
              <w:ind w:hanging="0" w:start="0"/>
              <w:rPr>
                <w:smallCaps/>
              </w:rPr>
            </w:pPr>
            <w:r>
              <w:rPr>
                <w:smallCaps/>
              </w:rPr>
              <w:t>Black Tie Event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6:00 p.m. Reception, 7:00 p.m. Dinner and Presentation of Distinguished Service Awards to: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Public Sector:  Congresswoman Jennifer Dunn (R-WA)</w:t>
            </w:r>
          </w:p>
          <w:p>
            <w:pPr>
              <w:pStyle w:val="Normal"/>
              <w:ind w:start="2577" w:end="0"/>
              <w:jc w:val="start"/>
              <w:rPr/>
            </w:pPr>
            <w:r>
              <w:rPr/>
              <w:t>Private Sector:  Charles G. Koch, Koch Industries, Inc.</w:t>
            </w:r>
          </w:p>
        </w:tc>
      </w:tr>
    </w:tbl>
    <w:p>
      <w:pPr>
        <w:pStyle w:val="Normal"/>
        <w:tabs>
          <w:tab w:val="clear" w:pos="720"/>
          <w:tab w:val="left" w:pos="1080" w:leader="none"/>
          <w:tab w:val="left" w:pos="2160" w:leader="none"/>
          <w:tab w:val="left" w:pos="3060" w:leader="none"/>
        </w:tabs>
        <w:jc w:val="start"/>
        <w:rPr>
          <w:rFonts w:ascii="Arial" w:hAnsi="Arial" w:cs="Arial"/>
          <w:b/>
          <w:sz w:val="12"/>
        </w:rPr>
      </w:pPr>
      <w:r>
        <w:rPr>
          <w:rFonts w:cs="Arial" w:ascii="Arial" w:hAnsi="Arial"/>
          <w:b/>
          <w:sz w:val="12"/>
        </w:rPr>
        <w:t>*********************************************************************************************************************************************************************************************************************************************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If you are interested in attending this event please complete this form and fax, e-mail or mail this completed form to the information provided below</w:t>
      </w:r>
    </w:p>
    <w:p>
      <w:pPr>
        <w:pStyle w:val="Heading9"/>
        <w:ind w:hanging="0" w:start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9"/>
        <w:ind w:hanging="0" w:start="0"/>
        <w:rPr/>
      </w:pPr>
      <w:r>
        <w:rPr>
          <w:sz w:val="24"/>
        </w:rPr>
        <w:t>Tax Foundation’s 63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Annual Conference</w:t>
      </w:r>
    </w:p>
    <w:p>
      <w:pPr>
        <w:pStyle w:val="Heading9"/>
        <w:ind w:hanging="0" w:start="0"/>
        <w:rPr>
          <w:sz w:val="16"/>
        </w:rPr>
      </w:pPr>
      <w:r>
        <w:rPr>
          <w:sz w:val="16"/>
        </w:rPr>
      </w:r>
    </w:p>
    <w:p>
      <w:pPr>
        <w:pStyle w:val="Heading9"/>
        <w:ind w:hanging="0" w:start="0"/>
        <w:rPr>
          <w:sz w:val="24"/>
        </w:rPr>
      </w:pPr>
      <w:r>
        <w:rPr>
          <w:sz w:val="24"/>
        </w:rPr>
        <w:t>Conference Fee:  Donors: $250 or Non-donors: $300</w:t>
      </w:r>
    </w:p>
    <w:p>
      <w:pPr>
        <w:pStyle w:val="Normal"/>
        <w:tabs>
          <w:tab w:val="clear" w:pos="720"/>
          <w:tab w:val="left" w:pos="1080" w:leader="none"/>
          <w:tab w:val="left" w:pos="2160" w:leader="none"/>
          <w:tab w:val="left" w:pos="306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Make checks payable to:  TAX FOUNDATION or pay with Visa, MasterCard or American Express.</w:t>
      </w:r>
    </w:p>
    <w:p>
      <w:pPr>
        <w:pStyle w:val="Heading5"/>
        <w:ind w:hanging="0" w:start="0"/>
        <w:jc w:val="center"/>
        <w:rPr/>
      </w:pPr>
      <w:r>
        <w:rPr>
          <w:rFonts w:cs="Arial" w:ascii="Arial" w:hAnsi="Arial"/>
          <w:sz w:val="16"/>
        </w:rPr>
        <w:t>ENCLOSED PAYMENT:</w:t>
        <w:tab/>
      </w:r>
      <w:r>
        <w:rPr>
          <w:rFonts w:eastAsia="Symbol" w:cs="Symbol" w:ascii="Symbol" w:hAnsi="Symbol"/>
          <w:sz w:val="16"/>
        </w:rPr>
        <w:sym w:font="Symbol" w:char="f0ff"/>
      </w:r>
      <w:r>
        <w:rPr>
          <w:rFonts w:cs="Arial" w:ascii="Arial" w:hAnsi="Arial"/>
          <w:sz w:val="16"/>
        </w:rPr>
        <w:t xml:space="preserve">  VISA</w:t>
        <w:tab/>
      </w:r>
      <w:r>
        <w:rPr>
          <w:rFonts w:eastAsia="Symbol" w:cs="Symbol" w:ascii="Symbol" w:hAnsi="Symbol"/>
          <w:sz w:val="16"/>
        </w:rPr>
        <w:sym w:font="Symbol" w:char="f0ff"/>
      </w:r>
      <w:r>
        <w:rPr>
          <w:rFonts w:cs="Arial" w:ascii="Arial" w:hAnsi="Arial"/>
          <w:sz w:val="16"/>
        </w:rPr>
        <w:t xml:space="preserve">  MASTER CARD</w:t>
        <w:tab/>
      </w:r>
      <w:r>
        <w:rPr>
          <w:rFonts w:eastAsia="Symbol" w:cs="Symbol" w:ascii="Symbol" w:hAnsi="Symbol"/>
          <w:sz w:val="16"/>
        </w:rPr>
        <w:sym w:font="Symbol" w:char="f0ff"/>
      </w:r>
      <w:r>
        <w:rPr>
          <w:rFonts w:cs="Arial" w:ascii="Arial" w:hAnsi="Arial"/>
          <w:sz w:val="16"/>
        </w:rPr>
        <w:t xml:space="preserve">  AMERICAN EXPRESS</w:t>
        <w:tab/>
      </w:r>
      <w:r>
        <w:rPr>
          <w:rFonts w:eastAsia="Symbol" w:cs="Symbol" w:ascii="Symbol" w:hAnsi="Symbol"/>
          <w:sz w:val="16"/>
        </w:rPr>
        <w:sym w:font="Symbol" w:char="f0ff"/>
      </w:r>
      <w:r>
        <w:rPr>
          <w:rFonts w:cs="Arial" w:ascii="Arial" w:hAnsi="Arial"/>
          <w:sz w:val="16"/>
        </w:rPr>
        <w:t xml:space="preserve">  CHECK</w:t>
      </w:r>
    </w:p>
    <w:p>
      <w:pPr>
        <w:pStyle w:val="Normal"/>
        <w:spacing w:lineRule="auto" w:line="360" w:before="120" w:after="0"/>
        <w:jc w:val="start"/>
        <w:rPr>
          <w:rFonts w:ascii="Arial" w:hAnsi="Arial" w:cs="Arial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365760</wp:posOffset>
                </wp:positionH>
                <wp:positionV relativeFrom="paragraph">
                  <wp:posOffset>195580</wp:posOffset>
                </wp:positionV>
                <wp:extent cx="566928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8pt,15.4pt" to="475.15pt,15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0"/>
        </w:rPr>
        <w:t>Name</w:t>
      </w:r>
    </w:p>
    <w:p>
      <w:pPr>
        <w:pStyle w:val="Normal"/>
        <w:spacing w:lineRule="auto" w:line="360" w:before="120" w:after="0"/>
        <w:jc w:val="start"/>
        <w:rPr>
          <w:rFonts w:ascii="Arial" w:hAnsi="Arial" w:cs="Arial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274320</wp:posOffset>
                </wp:positionH>
                <wp:positionV relativeFrom="paragraph">
                  <wp:posOffset>196215</wp:posOffset>
                </wp:positionV>
                <wp:extent cx="576072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.6pt,15.45pt" to="475.15pt,15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0"/>
        </w:rPr>
        <w:t>Title</w:t>
      </w:r>
    </w:p>
    <w:p>
      <w:pPr>
        <w:pStyle w:val="Normal"/>
        <w:spacing w:lineRule="auto" w:line="360"/>
        <w:jc w:val="start"/>
        <w:rPr>
          <w:rFonts w:ascii="Arial" w:hAnsi="Arial" w:cs="Arial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731520</wp:posOffset>
                </wp:positionH>
                <wp:positionV relativeFrom="paragraph">
                  <wp:posOffset>153670</wp:posOffset>
                </wp:positionV>
                <wp:extent cx="530352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6pt,12.1pt" to="475.15pt,12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0"/>
        </w:rPr>
        <w:t>Organization</w:t>
      </w:r>
    </w:p>
    <w:p>
      <w:pPr>
        <w:pStyle w:val="Normal"/>
        <w:spacing w:lineRule="auto" w:line="360" w:before="120" w:after="0"/>
        <w:jc w:val="start"/>
        <w:rPr>
          <w:rFonts w:ascii="Arial" w:hAnsi="Arial" w:cs="Arial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548640</wp:posOffset>
                </wp:positionH>
                <wp:positionV relativeFrom="paragraph">
                  <wp:posOffset>224155</wp:posOffset>
                </wp:positionV>
                <wp:extent cx="548640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.2pt,17.65pt" to="475.15pt,17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0"/>
        </w:rPr>
        <w:t>Address</w:t>
      </w:r>
    </w:p>
    <w:p>
      <w:pPr>
        <w:pStyle w:val="Normal"/>
        <w:tabs>
          <w:tab w:val="clear" w:pos="720"/>
          <w:tab w:val="left" w:pos="3060" w:leader="none"/>
          <w:tab w:val="left" w:pos="6120" w:leader="none"/>
        </w:tabs>
        <w:spacing w:lineRule="auto" w:line="360" w:before="120" w:after="0"/>
        <w:jc w:val="start"/>
        <w:rPr>
          <w:rFonts w:ascii="Arial" w:hAnsi="Arial" w:cs="Arial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203200</wp:posOffset>
                </wp:positionV>
                <wp:extent cx="146304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6pt" to="151.15pt,1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2286000</wp:posOffset>
                </wp:positionH>
                <wp:positionV relativeFrom="paragraph">
                  <wp:posOffset>203200</wp:posOffset>
                </wp:positionV>
                <wp:extent cx="1554480" cy="0"/>
                <wp:effectExtent l="0" t="5080" r="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0pt,16pt" to="302.35pt,1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4297680</wp:posOffset>
                </wp:positionH>
                <wp:positionV relativeFrom="paragraph">
                  <wp:posOffset>203200</wp:posOffset>
                </wp:positionV>
                <wp:extent cx="173736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8.4pt,16pt" to="475.15pt,1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0"/>
        </w:rPr>
        <w:t xml:space="preserve">Phone #  </w:t>
        <w:tab/>
        <w:t xml:space="preserve">Fax # </w:t>
        <w:tab/>
        <w:t>E-mail</w:t>
      </w:r>
    </w:p>
    <w:p>
      <w:pPr>
        <w:pStyle w:val="Normal"/>
        <w:tabs>
          <w:tab w:val="clear" w:pos="720"/>
          <w:tab w:val="left" w:pos="-417" w:leader="none"/>
          <w:tab w:val="left" w:pos="0" w:leader="none"/>
          <w:tab w:val="left" w:pos="4320" w:leader="none"/>
        </w:tabs>
        <w:spacing w:lineRule="auto" w:line="360" w:before="120" w:after="0"/>
        <w:jc w:val="start"/>
        <w:rPr>
          <w:rFonts w:ascii="Arial" w:hAnsi="Arial" w:cs="Arial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822960</wp:posOffset>
                </wp:positionH>
                <wp:positionV relativeFrom="paragraph">
                  <wp:posOffset>182245</wp:posOffset>
                </wp:positionV>
                <wp:extent cx="1920240" cy="0"/>
                <wp:effectExtent l="0" t="5080" r="0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14.35pt" to="215.95pt,14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3474720</wp:posOffset>
                </wp:positionH>
                <wp:positionV relativeFrom="paragraph">
                  <wp:posOffset>182245</wp:posOffset>
                </wp:positionV>
                <wp:extent cx="2560320" cy="0"/>
                <wp:effectExtent l="0" t="5080" r="0" b="50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14.35pt" to="475.15pt,14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0"/>
        </w:rPr>
        <w:t>Name on card</w:t>
        <w:tab/>
        <w:t>Credit Card#</w:t>
      </w:r>
    </w:p>
    <w:p>
      <w:pPr>
        <w:pStyle w:val="Normal"/>
        <w:tabs>
          <w:tab w:val="left" w:pos="-417" w:leader="none"/>
          <w:tab w:val="left" w:pos="0" w:leader="none"/>
          <w:tab w:val="left" w:pos="720" w:leader="none"/>
          <w:tab w:val="left" w:pos="1092" w:leader="none"/>
          <w:tab w:val="left" w:pos="1440" w:leader="none"/>
          <w:tab w:val="left" w:pos="2160" w:leader="none"/>
          <w:tab w:val="left" w:pos="2880" w:leader="none"/>
          <w:tab w:val="left" w:pos="3134" w:leader="none"/>
          <w:tab w:val="left" w:pos="3600" w:leader="none"/>
          <w:tab w:val="left" w:pos="4320" w:leader="none"/>
          <w:tab w:val="left" w:pos="5040" w:leader="none"/>
          <w:tab w:val="left" w:pos="5532" w:leader="none"/>
          <w:tab w:val="left" w:pos="5760" w:leader="none"/>
          <w:tab w:val="left" w:pos="5887" w:leader="none"/>
          <w:tab w:val="left" w:pos="6480" w:leader="none"/>
          <w:tab w:val="left" w:pos="7200" w:leader="none"/>
          <w:tab w:val="left" w:pos="7396" w:leader="none"/>
          <w:tab w:val="left" w:pos="7920" w:leader="none"/>
          <w:tab w:val="left" w:pos="8640" w:leader="none"/>
          <w:tab w:val="left" w:pos="9084" w:leader="none"/>
        </w:tabs>
        <w:spacing w:lineRule="auto" w:line="360"/>
        <w:jc w:val="start"/>
        <w:rPr>
          <w:rFonts w:ascii="Arial" w:hAnsi="Arial" w:cs="Arial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548640</wp:posOffset>
                </wp:positionH>
                <wp:positionV relativeFrom="paragraph">
                  <wp:posOffset>146050</wp:posOffset>
                </wp:positionV>
                <wp:extent cx="1280160" cy="0"/>
                <wp:effectExtent l="0" t="5080" r="0" b="508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.2pt,11.5pt" to="143.95pt,11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2377440</wp:posOffset>
                </wp:positionH>
                <wp:positionV relativeFrom="paragraph">
                  <wp:posOffset>146050</wp:posOffset>
                </wp:positionV>
                <wp:extent cx="3657600" cy="0"/>
                <wp:effectExtent l="0" t="5080" r="0" b="508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7.2pt,11.5pt" to="475.15pt,11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0"/>
        </w:rPr>
        <w:t>Exp. Date</w:t>
        <w:tab/>
        <w:tab/>
        <w:tab/>
        <w:tab/>
        <w:t>Signature</w:t>
      </w:r>
    </w:p>
    <w:p>
      <w:pPr>
        <w:pStyle w:val="BodyText2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BodyText2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For questions or additional information contact</w:t>
      </w:r>
    </w:p>
    <w:p>
      <w:pPr>
        <w:pStyle w:val="BodyText2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Jan E. Rogers, 1250 H Street, NW, Suite 750, Washington, DC 20005-3908</w:t>
      </w:r>
    </w:p>
    <w:p>
      <w:pPr>
        <w:pStyle w:val="BodyText2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Phone - 202/661-4226, fax - 202/783-6868 e-mail - </w:t>
      </w:r>
      <w:hyperlink r:id="rId2">
        <w:r>
          <w:rPr>
            <w:rStyle w:val="Hyperlink"/>
            <w:rFonts w:cs="Arial" w:ascii="Arial" w:hAnsi="Arial"/>
            <w:sz w:val="20"/>
          </w:rPr>
          <w:t>jrogers@taxfoundation.org</w:t>
        </w:r>
      </w:hyperlink>
    </w:p>
    <w:p>
      <w:pPr>
        <w:pStyle w:val="BodyText2"/>
        <w:rPr/>
      </w:pPr>
      <w:r>
        <w:rPr>
          <w:rFonts w:cs="Arial" w:ascii="Arial" w:hAnsi="Arial"/>
          <w:sz w:val="20"/>
        </w:rPr>
        <w:t xml:space="preserve">Reservations must be received by </w:t>
      </w:r>
      <w:r>
        <w:rPr>
          <w:rFonts w:cs="Arial" w:ascii="Arial" w:hAnsi="Arial"/>
          <w:b w:val="false"/>
          <w:sz w:val="20"/>
          <w:u w:val="single"/>
        </w:rPr>
        <w:t>November 10, 2000</w:t>
      </w:r>
      <w:r>
        <w:rPr>
          <w:rFonts w:cs="Arial" w:ascii="Arial" w:hAnsi="Arial"/>
          <w:sz w:val="20"/>
        </w:rPr>
        <w:t xml:space="preserve">.  </w:t>
      </w:r>
    </w:p>
    <w:p>
      <w:pPr>
        <w:pStyle w:val="BodyText2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(Written cancellation for refunds accepted through this date only.)</w:t>
      </w:r>
      <w:bookmarkStart w:id="0" w:name="QuickMark"/>
      <w:bookmarkEnd w:id="0"/>
    </w:p>
    <w:sectPr>
      <w:footerReference w:type="default" r:id="rId3"/>
      <w:type w:val="nextPage"/>
      <w:pgSz w:w="12240" w:h="15840"/>
      <w:pgMar w:left="720" w:right="432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t>The Tax Foundation is a non-profit educational research organization under section 501(C)(3) of the Internal Revenue Code.  All contributions made to the Tax Foundation are tax deductible to the extent allowable by law.</w:t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center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58" w:end="258"/>
      <w:jc w:val="center"/>
      <w:outlineLvl w:val="0"/>
    </w:pPr>
    <w:rPr>
      <w:b/>
      <w:lang w:val="en-C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1440" w:leader="none"/>
      </w:tabs>
      <w:ind w:hanging="0" w:start="1440" w:end="0"/>
      <w:jc w:val="start"/>
      <w:outlineLvl w:val="1"/>
    </w:pPr>
    <w:rPr>
      <w:rFonts w:ascii="CG Times" w:hAnsi="CG Times" w:cs="CG Times"/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clear" w:pos="720"/>
        <w:tab w:val="center" w:pos="5731" w:leader="none"/>
      </w:tabs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center" w:pos="4680" w:leader="none"/>
      </w:tabs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360" w:leader="none"/>
        <w:tab w:val="left" w:pos="2160" w:leader="none"/>
        <w:tab w:val="left" w:pos="3060" w:leader="none"/>
      </w:tabs>
      <w:jc w:val="start"/>
      <w:outlineLvl w:val="4"/>
    </w:pPr>
    <w:rPr>
      <w:rFonts w:ascii="CG Times" w:hAnsi="CG Times" w:cs="CG Times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mallCap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2160" w:leader="none"/>
        <w:tab w:val="left" w:pos="3240" w:leader="none"/>
        <w:tab w:val="left" w:pos="4680" w:leader="none"/>
      </w:tabs>
      <w:jc w:val="start"/>
      <w:outlineLvl w:val="6"/>
    </w:pPr>
    <w:rPr>
      <w:rFonts w:ascii="Arial" w:hAnsi="Arial" w:cs="Arial"/>
      <w:b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1080" w:leader="none"/>
        <w:tab w:val="left" w:pos="1440" w:leader="none"/>
      </w:tabs>
      <w:outlineLvl w:val="7"/>
    </w:pPr>
    <w:rPr>
      <w:rFonts w:ascii="Arial" w:hAnsi="Arial" w:cs="Arial"/>
      <w:b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720" w:leader="none"/>
        <w:tab w:val="left" w:pos="4680" w:leader="none"/>
      </w:tabs>
      <w:outlineLvl w:val="8"/>
    </w:pPr>
    <w:rPr>
      <w:rFonts w:ascii="Arial" w:hAnsi="Arial" w:cs="Arial"/>
      <w:b/>
      <w:sz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clear" w:pos="720"/>
        <w:tab w:val="left" w:pos="1080" w:leader="none"/>
        <w:tab w:val="left" w:pos="2160" w:leader="none"/>
        <w:tab w:val="left" w:pos="3060" w:leader="none"/>
      </w:tabs>
    </w:pPr>
    <w:rPr>
      <w:rFonts w:ascii="CG Times" w:hAnsi="CG Times" w:cs="CG Times"/>
      <w:b/>
    </w:rPr>
  </w:style>
  <w:style w:type="paragraph" w:styleId="BodyText3">
    <w:name w:val="Body Text 3"/>
    <w:basedOn w:val="Normal"/>
    <w:qFormat/>
    <w:pPr>
      <w:tabs>
        <w:tab w:val="clear" w:pos="720"/>
        <w:tab w:val="left" w:pos="1440" w:leader="none"/>
        <w:tab w:val="left" w:pos="1800" w:leader="none"/>
      </w:tabs>
      <w:jc w:val="start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rogers@taxfoundation.org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2000-10-12T11:43:00Z</dcterms:created>
  <dc:creator>Renee Nowland</dc:creator>
  <dc:description/>
  <dc:language>en-CA</dc:language>
  <cp:lastModifiedBy>Jan Rogers</cp:lastModifiedBy>
  <cp:lastPrinted>2000-10-17T15:46:00Z</cp:lastPrinted>
  <dcterms:modified xsi:type="dcterms:W3CDTF">2000-10-17T17:18:00Z</dcterms:modified>
  <cp:revision>12</cp:revision>
  <dc:subject/>
  <dc:title>IF YOU RECEIVE THIS FAX YOU HAVE NOT LET ME KNOW IF YOU PLAN TO ATTEND THE JUNE 9 MEETING IN DALLAS</dc:title>
</cp:coreProperties>
</file>