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32"/>
        </w:rPr>
      </w:pPr>
      <w:r>
        <w:rPr>
          <w:b/>
          <w:sz w:val="32"/>
        </w:rPr>
        <w:t>Conference Call Notes</w:t>
      </w:r>
    </w:p>
    <w:p>
      <w:pPr>
        <w:pStyle w:val="Normal"/>
        <w:rPr>
          <w:b/>
          <w:sz w:val="24"/>
        </w:rPr>
      </w:pPr>
      <w:r>
        <w:rPr>
          <w:b/>
          <w:sz w:val="24"/>
        </w:rPr>
      </w:r>
    </w:p>
    <w:p>
      <w:pPr>
        <w:pStyle w:val="Normal"/>
        <w:rPr>
          <w:sz w:val="24"/>
        </w:rPr>
      </w:pPr>
      <w:r>
        <w:rPr>
          <w:sz w:val="24"/>
        </w:rPr>
        <w:t>SUBJECT:</w:t>
        <w:tab/>
        <w:tab/>
        <w:t>ABB Transformers for Las Vegas</w:t>
      </w:r>
    </w:p>
    <w:p>
      <w:pPr>
        <w:pStyle w:val="Normal"/>
        <w:rPr>
          <w:sz w:val="24"/>
        </w:rPr>
      </w:pPr>
      <w:r>
        <w:rPr>
          <w:sz w:val="24"/>
        </w:rPr>
        <w:tab/>
        <w:tab/>
        <w:tab/>
        <w:t>Requirements Review</w:t>
      </w:r>
    </w:p>
    <w:p>
      <w:pPr>
        <w:pStyle w:val="Normal"/>
        <w:rPr>
          <w:sz w:val="24"/>
        </w:rPr>
      </w:pPr>
      <w:r>
        <w:rPr>
          <w:sz w:val="24"/>
        </w:rPr>
      </w:r>
    </w:p>
    <w:p>
      <w:pPr>
        <w:pStyle w:val="Normal"/>
        <w:rPr>
          <w:sz w:val="24"/>
        </w:rPr>
      </w:pPr>
      <w:r>
        <w:rPr>
          <w:sz w:val="24"/>
        </w:rPr>
        <w:t>DATE:</w:t>
        <w:tab/>
        <w:tab/>
        <w:tab/>
        <w:t>September 28, 2000</w:t>
      </w:r>
    </w:p>
    <w:p>
      <w:pPr>
        <w:pStyle w:val="Normal"/>
        <w:rPr>
          <w:sz w:val="24"/>
        </w:rPr>
      </w:pPr>
      <w:r>
        <w:rPr>
          <w:sz w:val="24"/>
        </w:rPr>
      </w:r>
    </w:p>
    <w:p>
      <w:pPr>
        <w:pStyle w:val="Normal"/>
        <w:rPr>
          <w:sz w:val="24"/>
        </w:rPr>
      </w:pPr>
      <w:r>
        <w:rPr>
          <w:sz w:val="24"/>
        </w:rPr>
        <w:t>PARTICIPANTS:</w:t>
        <w:tab/>
        <w:t>Mike Sandridge, ABB in Houston</w:t>
      </w:r>
    </w:p>
    <w:p>
      <w:pPr>
        <w:pStyle w:val="Normal"/>
        <w:rPr>
          <w:sz w:val="24"/>
        </w:rPr>
      </w:pPr>
      <w:r>
        <w:rPr>
          <w:sz w:val="24"/>
        </w:rPr>
        <w:tab/>
        <w:tab/>
        <w:tab/>
        <w:t>J.Y. Davis, ABB in St. Louis</w:t>
      </w:r>
    </w:p>
    <w:p>
      <w:pPr>
        <w:pStyle w:val="Normal"/>
        <w:rPr>
          <w:sz w:val="24"/>
        </w:rPr>
      </w:pPr>
      <w:r>
        <w:rPr>
          <w:sz w:val="24"/>
        </w:rPr>
        <w:tab/>
        <w:tab/>
        <w:tab/>
        <w:t>Chi Ho, ABB in St. Louis</w:t>
      </w:r>
    </w:p>
    <w:p>
      <w:pPr>
        <w:pStyle w:val="Normal"/>
        <w:rPr>
          <w:sz w:val="24"/>
        </w:rPr>
      </w:pPr>
      <w:r>
        <w:rPr>
          <w:sz w:val="24"/>
        </w:rPr>
        <w:tab/>
        <w:tab/>
        <w:tab/>
        <w:t>Bruce King, Power Engineers in Boise</w:t>
      </w:r>
    </w:p>
    <w:p>
      <w:pPr>
        <w:pStyle w:val="Normal"/>
        <w:rPr>
          <w:sz w:val="24"/>
        </w:rPr>
      </w:pPr>
      <w:r>
        <w:rPr>
          <w:sz w:val="24"/>
        </w:rPr>
        <w:tab/>
        <w:tab/>
        <w:tab/>
        <w:t>Don Hammond, Enron NA in Portland</w:t>
      </w:r>
    </w:p>
    <w:p>
      <w:pPr>
        <w:pStyle w:val="Normal"/>
        <w:rPr>
          <w:sz w:val="24"/>
        </w:rPr>
      </w:pPr>
      <w:r>
        <w:rPr>
          <w:sz w:val="24"/>
        </w:rPr>
      </w:r>
    </w:p>
    <w:p>
      <w:pPr>
        <w:pStyle w:val="Normal"/>
        <w:rPr>
          <w:sz w:val="24"/>
        </w:rPr>
      </w:pPr>
      <w:r>
        <w:rPr>
          <w:sz w:val="24"/>
        </w:rPr>
        <w:t>This call was initiated to coordinate requirements for the two generator step-up transformers to be supplied by ABB for the expansion of the Las Vegas Cogeneration plant in North Las Vegas. Power Engineers, engineering subcontractor to the EPC contractor, has completed engineering necessary to determine parameters for the transformers.</w:t>
      </w:r>
    </w:p>
    <w:p>
      <w:pPr>
        <w:pStyle w:val="Normal"/>
        <w:rPr>
          <w:sz w:val="24"/>
        </w:rPr>
      </w:pPr>
      <w:r>
        <w:rPr>
          <w:sz w:val="24"/>
        </w:rPr>
      </w:r>
    </w:p>
    <w:p>
      <w:pPr>
        <w:pStyle w:val="Normal"/>
        <w:rPr>
          <w:sz w:val="24"/>
        </w:rPr>
      </w:pPr>
      <w:r>
        <w:rPr>
          <w:sz w:val="24"/>
        </w:rPr>
        <w:t>The Purchaser Data Sheets for the units, ABB Design HU-Enron-2D-LS, were the basis for the conference call review. The following summarizes changes and additions to the information on the data sheets:</w:t>
      </w:r>
    </w:p>
    <w:p>
      <w:pPr>
        <w:pStyle w:val="Normal"/>
        <w:rPr>
          <w:sz w:val="24"/>
        </w:rPr>
      </w:pPr>
      <w:r>
        <w:rPr>
          <w:sz w:val="24"/>
        </w:rPr>
      </w:r>
    </w:p>
    <w:p>
      <w:pPr>
        <w:pStyle w:val="Normal"/>
        <w:numPr>
          <w:ilvl w:val="0"/>
          <w:numId w:val="2"/>
        </w:numPr>
        <w:rPr>
          <w:sz w:val="24"/>
        </w:rPr>
      </w:pPr>
      <w:r>
        <w:rPr>
          <w:sz w:val="24"/>
        </w:rPr>
        <w:t>Minimum/Maximum Ambient Temperature (</w:t>
      </w:r>
      <w:r>
        <w:rPr>
          <w:rFonts w:cs="Courier New" w:ascii="Courier New" w:hAnsi="Courier New"/>
          <w:sz w:val="24"/>
        </w:rPr>
        <w:t>ºC</w:t>
      </w:r>
      <w:r>
        <w:rPr>
          <w:sz w:val="24"/>
        </w:rPr>
        <w:t>)</w:t>
        <w:tab/>
        <w:tab/>
        <w:tab/>
        <w:t>5/46</w:t>
      </w:r>
    </w:p>
    <w:p>
      <w:pPr>
        <w:pStyle w:val="Normal"/>
        <w:ind w:start="360" w:end="0"/>
        <w:rPr>
          <w:sz w:val="24"/>
        </w:rPr>
      </w:pPr>
      <w:r>
        <w:rPr>
          <w:sz w:val="24"/>
        </w:rPr>
        <w:t>(maximum ambient revised from 40 to 46 to conform to</w:t>
      </w:r>
    </w:p>
    <w:p>
      <w:pPr>
        <w:pStyle w:val="Normal"/>
        <w:ind w:start="360" w:end="0"/>
        <w:rPr/>
      </w:pPr>
      <w:r>
        <w:rPr>
          <w:sz w:val="24"/>
        </w:rPr>
        <w:t xml:space="preserve">the 115 </w:t>
      </w:r>
      <w:r>
        <w:rPr>
          <w:rFonts w:cs="Courier New" w:ascii="Courier New" w:hAnsi="Courier New"/>
          <w:sz w:val="24"/>
        </w:rPr>
        <w:t>º</w:t>
      </w:r>
      <w:r>
        <w:rPr>
          <w:sz w:val="24"/>
        </w:rPr>
        <w:t>F Design Basis)</w:t>
      </w:r>
    </w:p>
    <w:p>
      <w:pPr>
        <w:pStyle w:val="Normal"/>
        <w:ind w:start="360" w:end="0"/>
        <w:rPr>
          <w:sz w:val="24"/>
        </w:rPr>
      </w:pPr>
      <w:r>
        <w:rPr>
          <w:sz w:val="24"/>
        </w:rPr>
      </w:r>
    </w:p>
    <w:p>
      <w:pPr>
        <w:pStyle w:val="Normal"/>
        <w:numPr>
          <w:ilvl w:val="0"/>
          <w:numId w:val="4"/>
        </w:numPr>
        <w:rPr>
          <w:sz w:val="24"/>
        </w:rPr>
      </w:pPr>
      <w:r>
        <w:rPr>
          <w:sz w:val="24"/>
        </w:rPr>
        <w:t>Seismic Zone (per UBC – 1997)</w:t>
        <w:tab/>
        <w:tab/>
        <w:tab/>
        <w:tab/>
        <w:tab/>
        <w:tab/>
        <w:t>2B</w:t>
      </w:r>
    </w:p>
    <w:p>
      <w:pPr>
        <w:pStyle w:val="Normal"/>
        <w:rPr>
          <w:sz w:val="24"/>
        </w:rPr>
      </w:pPr>
      <w:r>
        <w:rPr>
          <w:sz w:val="24"/>
        </w:rPr>
      </w:r>
    </w:p>
    <w:p>
      <w:pPr>
        <w:pStyle w:val="Normal"/>
        <w:numPr>
          <w:ilvl w:val="0"/>
          <w:numId w:val="10"/>
        </w:numPr>
        <w:rPr>
          <w:sz w:val="24"/>
        </w:rPr>
      </w:pPr>
      <w:r>
        <w:rPr>
          <w:sz w:val="24"/>
        </w:rPr>
        <w:t>Equipment Number</w:t>
        <w:tab/>
        <w:tab/>
        <w:tab/>
        <w:tab/>
        <w:tab/>
        <w:tab/>
        <w:tab/>
        <w:t>GSU-2A</w:t>
      </w:r>
    </w:p>
    <w:p>
      <w:pPr>
        <w:pStyle w:val="Heading2"/>
        <w:rPr/>
      </w:pPr>
      <w:r>
        <w:rPr/>
        <w:t>GSU-3A</w:t>
      </w:r>
    </w:p>
    <w:p>
      <w:pPr>
        <w:pStyle w:val="Normal"/>
        <w:ind w:start="360" w:end="0"/>
        <w:rPr>
          <w:sz w:val="24"/>
        </w:rPr>
      </w:pPr>
      <w:r>
        <w:rPr>
          <w:sz w:val="24"/>
        </w:rPr>
        <w:t>(Equipment numbers to conform to Power Engineers</w:t>
      </w:r>
    </w:p>
    <w:p>
      <w:pPr>
        <w:pStyle w:val="Normal"/>
        <w:ind w:start="360" w:end="0"/>
        <w:rPr>
          <w:sz w:val="24"/>
        </w:rPr>
      </w:pPr>
      <w:r>
        <w:rPr>
          <w:sz w:val="24"/>
        </w:rPr>
        <w:t>plant numbering system)</w:t>
      </w:r>
    </w:p>
    <w:p>
      <w:pPr>
        <w:pStyle w:val="Normal"/>
        <w:ind w:start="360" w:end="0"/>
        <w:rPr>
          <w:sz w:val="24"/>
        </w:rPr>
      </w:pPr>
      <w:r>
        <w:rPr>
          <w:sz w:val="24"/>
        </w:rPr>
      </w:r>
    </w:p>
    <w:p>
      <w:pPr>
        <w:pStyle w:val="Normal"/>
        <w:numPr>
          <w:ilvl w:val="0"/>
          <w:numId w:val="6"/>
        </w:numPr>
        <w:rPr>
          <w:sz w:val="24"/>
        </w:rPr>
      </w:pPr>
      <w:r>
        <w:rPr>
          <w:sz w:val="24"/>
        </w:rPr>
        <w:t>Power for Auxiliary Devices</w:t>
      </w:r>
    </w:p>
    <w:p>
      <w:pPr>
        <w:pStyle w:val="Heading3"/>
        <w:rPr/>
      </w:pPr>
      <w:r>
        <w:rPr/>
        <w:t>Fans:</w:t>
        <w:tab/>
        <w:tab/>
        <w:t>Volts / Phase</w:t>
        <w:tab/>
        <w:tab/>
        <w:tab/>
        <w:tab/>
        <w:tab/>
        <w:tab/>
        <w:t>480 / 3</w:t>
      </w:r>
    </w:p>
    <w:p>
      <w:pPr>
        <w:pStyle w:val="Normal"/>
        <w:ind w:start="720" w:end="0"/>
        <w:rPr>
          <w:sz w:val="24"/>
        </w:rPr>
      </w:pPr>
      <w:r>
        <w:rPr>
          <w:sz w:val="24"/>
        </w:rPr>
        <w:t>Pumps:</w:t>
        <w:tab/>
        <w:t>Volts / Phase</w:t>
        <w:tab/>
        <w:tab/>
        <w:tab/>
        <w:tab/>
        <w:tab/>
        <w:tab/>
        <w:t>NA / NA</w:t>
      </w:r>
    </w:p>
    <w:p>
      <w:pPr>
        <w:pStyle w:val="Normal"/>
        <w:ind w:start="360" w:end="0"/>
        <w:rPr>
          <w:sz w:val="24"/>
        </w:rPr>
      </w:pPr>
      <w:r>
        <w:rPr>
          <w:sz w:val="24"/>
        </w:rPr>
        <w:t xml:space="preserve">(Separate 120-volt single-phase and 480-volt three-phase </w:t>
      </w:r>
    </w:p>
    <w:p>
      <w:pPr>
        <w:pStyle w:val="Normal"/>
        <w:ind w:start="360" w:end="0"/>
        <w:rPr>
          <w:sz w:val="24"/>
        </w:rPr>
      </w:pPr>
      <w:r>
        <w:rPr>
          <w:sz w:val="24"/>
        </w:rPr>
        <w:t>supplies will be brought to the transformer control cabinet)</w:t>
      </w:r>
    </w:p>
    <w:p>
      <w:pPr>
        <w:pStyle w:val="Normal"/>
        <w:ind w:start="720" w:end="0"/>
        <w:rPr>
          <w:sz w:val="24"/>
        </w:rPr>
      </w:pPr>
      <w:r>
        <w:rPr>
          <w:sz w:val="24"/>
        </w:rPr>
      </w:r>
    </w:p>
    <w:p>
      <w:pPr>
        <w:pStyle w:val="Normal"/>
        <w:numPr>
          <w:ilvl w:val="0"/>
          <w:numId w:val="9"/>
        </w:numPr>
        <w:rPr>
          <w:sz w:val="24"/>
        </w:rPr>
      </w:pPr>
      <w:r>
        <w:rPr>
          <w:sz w:val="24"/>
        </w:rPr>
        <w:t>Impedance - % on OA base (84 MVA base)</w:t>
        <w:tab/>
        <w:tab/>
        <w:tab/>
        <w:tab/>
        <w:t>13 %</w:t>
      </w:r>
    </w:p>
    <w:p>
      <w:pPr>
        <w:pStyle w:val="Normal"/>
        <w:rPr>
          <w:sz w:val="24"/>
        </w:rPr>
      </w:pPr>
      <w:r>
        <w:rPr>
          <w:sz w:val="24"/>
        </w:rPr>
      </w:r>
    </w:p>
    <w:p>
      <w:pPr>
        <w:pStyle w:val="Normal"/>
        <w:numPr>
          <w:ilvl w:val="0"/>
          <w:numId w:val="3"/>
        </w:numPr>
        <w:rPr>
          <w:sz w:val="24"/>
        </w:rPr>
      </w:pPr>
      <w:r>
        <w:rPr>
          <w:sz w:val="24"/>
        </w:rPr>
        <w:t>Surge Arrestor Required – (Yes / No)</w:t>
        <w:tab/>
        <w:tab/>
        <w:tab/>
        <w:tab/>
        <w:tab/>
        <w:t>Yes</w:t>
      </w:r>
    </w:p>
    <w:p>
      <w:pPr>
        <w:pStyle w:val="Heading4"/>
        <w:rPr/>
      </w:pPr>
      <w:r>
        <w:rPr/>
        <w:t>Rating:</w:t>
        <w:tab/>
        <w:tab/>
        <w:tab/>
        <w:tab/>
        <w:tab/>
        <w:tab/>
        <w:tab/>
        <w:tab/>
        <w:tab/>
        <w:t>115 kV MCOV</w:t>
      </w:r>
    </w:p>
    <w:p>
      <w:pPr>
        <w:pStyle w:val="Normal"/>
        <w:ind w:start="720" w:end="-360"/>
        <w:rPr>
          <w:sz w:val="24"/>
        </w:rPr>
      </w:pPr>
      <w:r>
        <w:rPr>
          <w:sz w:val="24"/>
        </w:rPr>
        <w:t>Type:</w:t>
        <w:tab/>
        <w:tab/>
        <w:tab/>
        <w:tab/>
        <w:tab/>
        <w:tab/>
        <w:tab/>
        <w:tab/>
        <w:tab/>
        <w:t>Metal-Oxide</w:t>
      </w:r>
    </w:p>
    <w:p>
      <w:pPr>
        <w:pStyle w:val="Normal"/>
        <w:ind w:start="720" w:end="-360"/>
        <w:rPr>
          <w:sz w:val="24"/>
        </w:rPr>
      </w:pPr>
      <w:r>
        <w:rPr>
          <w:sz w:val="24"/>
        </w:rPr>
        <w:tab/>
        <w:tab/>
        <w:tab/>
        <w:tab/>
        <w:tab/>
        <w:tab/>
        <w:tab/>
        <w:tab/>
        <w:tab/>
        <w:t>ABB – EXLIM</w:t>
      </w:r>
    </w:p>
    <w:p>
      <w:pPr>
        <w:pStyle w:val="Normal"/>
        <w:ind w:end="-360"/>
        <w:rPr>
          <w:sz w:val="24"/>
        </w:rPr>
      </w:pPr>
      <w:r>
        <w:rPr>
          <w:sz w:val="24"/>
        </w:rPr>
        <w:t>Action items:</w:t>
      </w:r>
    </w:p>
    <w:p>
      <w:pPr>
        <w:pStyle w:val="Normal"/>
        <w:numPr>
          <w:ilvl w:val="0"/>
          <w:numId w:val="8"/>
        </w:numPr>
        <w:ind w:hanging="360" w:start="360" w:end="-360"/>
        <w:rPr>
          <w:sz w:val="24"/>
        </w:rPr>
      </w:pPr>
      <w:r>
        <w:rPr>
          <w:sz w:val="24"/>
        </w:rPr>
        <w:t>ABB to provide Enron NA a written confirmation of changes and a proposal for the contract revisions to implement</w:t>
      </w:r>
    </w:p>
    <w:p>
      <w:pPr>
        <w:pStyle w:val="Normal"/>
        <w:ind w:end="-360"/>
        <w:rPr>
          <w:sz w:val="24"/>
        </w:rPr>
      </w:pPr>
      <w:r>
        <w:rPr>
          <w:sz w:val="24"/>
        </w:rPr>
      </w:r>
    </w:p>
    <w:p>
      <w:pPr>
        <w:pStyle w:val="Normal"/>
        <w:numPr>
          <w:ilvl w:val="0"/>
          <w:numId w:val="7"/>
        </w:numPr>
        <w:ind w:hanging="360" w:start="360" w:end="-360"/>
        <w:rPr>
          <w:sz w:val="24"/>
        </w:rPr>
      </w:pPr>
      <w:r>
        <w:rPr>
          <w:sz w:val="24"/>
        </w:rPr>
        <w:t>Enron NA to provide ABB the location and carrier for nearest rail siding to the site for delivery planning</w:t>
      </w:r>
    </w:p>
    <w:p>
      <w:pPr>
        <w:pStyle w:val="Normal"/>
        <w:ind w:end="-360"/>
        <w:rPr>
          <w:sz w:val="24"/>
        </w:rPr>
      </w:pPr>
      <w:r>
        <w:rPr>
          <w:sz w:val="24"/>
        </w:rPr>
      </w:r>
    </w:p>
    <w:p>
      <w:pPr>
        <w:pStyle w:val="Normal"/>
        <w:numPr>
          <w:ilvl w:val="0"/>
          <w:numId w:val="5"/>
        </w:numPr>
        <w:ind w:hanging="360" w:start="360" w:end="-360"/>
        <w:rPr>
          <w:sz w:val="24"/>
        </w:rPr>
      </w:pPr>
      <w:r>
        <w:rPr>
          <w:sz w:val="24"/>
        </w:rPr>
        <w:t>ABB to provide Enron NA updated data sheets for the transformers indicating weights and dimensions for preliminary engineering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7200" w:end="0"/>
      <w:outlineLvl w:val="1"/>
    </w:pPr>
    <w:rPr>
      <w:sz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3"/>
        <w:numId w:val="1"/>
      </w:numPr>
      <w:ind w:hanging="0" w:start="720" w:end="-360"/>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2000-09-29T12:24:00Z</dcterms:created>
  <dc:creator>dhammon</dc:creator>
  <dc:description/>
  <dc:language>en-CA</dc:language>
  <cp:lastModifiedBy>dhammon</cp:lastModifiedBy>
  <dcterms:modified xsi:type="dcterms:W3CDTF">2000-09-29T13:50:00Z</dcterms:modified>
  <cp:revision>1</cp:revision>
  <dc:subject/>
  <dc:title>Conference Call Notes</dc:title>
</cp:coreProperties>
</file>