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Summary Report</w:t>
      </w:r>
    </w:p>
    <w:p>
      <w:pPr>
        <w:pStyle w:val="Normal"/>
        <w:jc w:val="center"/>
        <w:rPr/>
      </w:pPr>
      <w:r>
        <w:rPr>
          <w:sz w:val="22"/>
        </w:rPr>
        <w:t>From the 16</w:t>
      </w:r>
      <w:r>
        <w:rPr>
          <w:sz w:val="22"/>
          <w:vertAlign w:val="superscript"/>
        </w:rPr>
        <w:t>th</w:t>
      </w:r>
      <w:r>
        <w:rPr>
          <w:sz w:val="22"/>
        </w:rPr>
        <w:t xml:space="preserve"> Annual North American RISI Conference</w:t>
      </w:r>
    </w:p>
    <w:p>
      <w:pPr>
        <w:pStyle w:val="Normal"/>
        <w:jc w:val="center"/>
        <w:rPr>
          <w:sz w:val="22"/>
        </w:rPr>
      </w:pPr>
      <w:r>
        <w:rPr>
          <w:sz w:val="22"/>
        </w:rPr>
      </w:r>
    </w:p>
    <w:p>
      <w:pPr>
        <w:pStyle w:val="Normal"/>
        <w:jc w:val="center"/>
        <w:rPr>
          <w:sz w:val="22"/>
        </w:rPr>
      </w:pPr>
      <w:r>
        <w:rPr>
          <w:sz w:val="22"/>
        </w:rPr>
      </w:r>
    </w:p>
    <w:p>
      <w:pPr>
        <w:pStyle w:val="BodyText"/>
        <w:numPr>
          <w:ilvl w:val="0"/>
          <w:numId w:val="2"/>
        </w:numPr>
        <w:rPr>
          <w:b/>
          <w:bCs/>
          <w:sz w:val="20"/>
        </w:rPr>
      </w:pPr>
      <w:r>
        <w:rPr>
          <w:b/>
          <w:bCs/>
          <w:sz w:val="20"/>
        </w:rPr>
        <w:t>Slow growth in printing/writing papers demand in near-term</w:t>
      </w:r>
    </w:p>
    <w:p>
      <w:pPr>
        <w:pStyle w:val="BodyText"/>
        <w:numPr>
          <w:ilvl w:val="0"/>
          <w:numId w:val="2"/>
        </w:numPr>
        <w:rPr>
          <w:b/>
          <w:bCs/>
          <w:sz w:val="20"/>
        </w:rPr>
      </w:pPr>
      <w:r>
        <w:rPr>
          <w:b/>
          <w:bCs/>
          <w:sz w:val="20"/>
        </w:rPr>
        <w:t>Electronic media to hurt demand long-term</w:t>
      </w:r>
    </w:p>
    <w:p>
      <w:pPr>
        <w:pStyle w:val="BodyText"/>
        <w:numPr>
          <w:ilvl w:val="0"/>
          <w:numId w:val="2"/>
        </w:numPr>
        <w:rPr>
          <w:sz w:val="20"/>
        </w:rPr>
      </w:pPr>
      <w:r>
        <w:rPr>
          <w:b/>
          <w:bCs/>
          <w:sz w:val="20"/>
        </w:rPr>
        <w:t>Demand and capacity growth increasingly located offshore</w:t>
      </w:r>
    </w:p>
    <w:p>
      <w:pPr>
        <w:pStyle w:val="BodyText"/>
        <w:rPr>
          <w:sz w:val="20"/>
        </w:rPr>
      </w:pPr>
      <w:r>
        <w:rPr>
          <w:sz w:val="20"/>
        </w:rPr>
      </w:r>
    </w:p>
    <w:p>
      <w:pPr>
        <w:pStyle w:val="BodyText"/>
        <w:rPr>
          <w:sz w:val="20"/>
        </w:rPr>
      </w:pPr>
      <w:r>
        <w:rPr>
          <w:sz w:val="20"/>
        </w:rPr>
        <w:t xml:space="preserve">The annual North American RISI conference held in San Diego last week focused on the trends of the new economy, its outlook, and its impact in the pulp and paper industry. </w:t>
      </w:r>
      <w:r>
        <w:rPr>
          <w:i/>
          <w:iCs/>
          <w:sz w:val="20"/>
        </w:rPr>
        <w:t>Following are views expressed by RISI speakers.</w:t>
      </w:r>
    </w:p>
    <w:p>
      <w:pPr>
        <w:pStyle w:val="Normal"/>
        <w:rPr>
          <w:sz w:val="20"/>
        </w:rPr>
      </w:pPr>
      <w:r>
        <w:rPr>
          <w:sz w:val="20"/>
        </w:rPr>
      </w:r>
    </w:p>
    <w:p>
      <w:pPr>
        <w:pStyle w:val="Normal"/>
        <w:rPr>
          <w:sz w:val="20"/>
        </w:rPr>
      </w:pPr>
      <w:r>
        <w:rPr>
          <w:sz w:val="20"/>
        </w:rPr>
        <w:t>The economic development in North America throughout the 1990s has been characterized by technological innovation and the spread of information technology throughout all areas of economy. While the new economy continues to increase productivity in various business areas, it is also slowing the demand for paper. This new economy is partly to blame for the recent drop in US graphic paper demand in 2001 due to the loss of magazine and newspaper advertising (in addition to the harmful effects of the traditional economy). The long-term effects of the new economy will be as follows:</w:t>
      </w:r>
    </w:p>
    <w:p>
      <w:pPr>
        <w:pStyle w:val="Normal"/>
        <w:rPr>
          <w:sz w:val="20"/>
        </w:rPr>
      </w:pPr>
      <w:r>
        <w:rPr>
          <w:sz w:val="20"/>
        </w:rPr>
      </w:r>
    </w:p>
    <w:p>
      <w:pPr>
        <w:pStyle w:val="Normal"/>
        <w:numPr>
          <w:ilvl w:val="0"/>
          <w:numId w:val="1"/>
        </w:numPr>
        <w:rPr>
          <w:i/>
          <w:i/>
          <w:iCs/>
          <w:sz w:val="20"/>
        </w:rPr>
      </w:pPr>
      <w:r>
        <w:rPr>
          <w:i/>
          <w:iCs/>
          <w:sz w:val="20"/>
        </w:rPr>
        <w:t>Communication will shift more to the web</w:t>
      </w:r>
    </w:p>
    <w:p>
      <w:pPr>
        <w:pStyle w:val="Normal"/>
        <w:numPr>
          <w:ilvl w:val="0"/>
          <w:numId w:val="1"/>
        </w:numPr>
        <w:rPr>
          <w:i/>
          <w:i/>
          <w:iCs/>
          <w:sz w:val="20"/>
        </w:rPr>
      </w:pPr>
      <w:r>
        <w:rPr>
          <w:i/>
          <w:iCs/>
          <w:sz w:val="20"/>
        </w:rPr>
        <w:t>Postal rates will increase</w:t>
      </w:r>
    </w:p>
    <w:p>
      <w:pPr>
        <w:pStyle w:val="Normal"/>
        <w:numPr>
          <w:ilvl w:val="0"/>
          <w:numId w:val="1"/>
        </w:numPr>
        <w:rPr>
          <w:i/>
          <w:i/>
          <w:iCs/>
          <w:sz w:val="20"/>
        </w:rPr>
      </w:pPr>
      <w:r>
        <w:rPr>
          <w:i/>
          <w:iCs/>
          <w:sz w:val="20"/>
        </w:rPr>
        <w:t>Mail volume growth will be lower</w:t>
      </w:r>
    </w:p>
    <w:p>
      <w:pPr>
        <w:pStyle w:val="Normal"/>
        <w:numPr>
          <w:ilvl w:val="0"/>
          <w:numId w:val="1"/>
        </w:numPr>
        <w:rPr>
          <w:i/>
          <w:i/>
          <w:iCs/>
          <w:sz w:val="20"/>
        </w:rPr>
      </w:pPr>
      <w:r>
        <w:rPr>
          <w:i/>
          <w:iCs/>
          <w:sz w:val="20"/>
        </w:rPr>
        <w:t xml:space="preserve">Transactions will shift to the Internet </w:t>
      </w:r>
    </w:p>
    <w:p>
      <w:pPr>
        <w:pStyle w:val="Normal"/>
        <w:numPr>
          <w:ilvl w:val="0"/>
          <w:numId w:val="1"/>
        </w:numPr>
        <w:rPr>
          <w:i/>
          <w:i/>
          <w:iCs/>
          <w:sz w:val="20"/>
        </w:rPr>
      </w:pPr>
      <w:r>
        <w:rPr>
          <w:i/>
          <w:iCs/>
          <w:sz w:val="20"/>
        </w:rPr>
        <w:t>Online retailing (catalogs) will increase</w:t>
      </w:r>
    </w:p>
    <w:p>
      <w:pPr>
        <w:pStyle w:val="Normal"/>
        <w:numPr>
          <w:ilvl w:val="0"/>
          <w:numId w:val="1"/>
        </w:numPr>
        <w:rPr>
          <w:i/>
          <w:i/>
          <w:iCs/>
          <w:sz w:val="20"/>
        </w:rPr>
      </w:pPr>
      <w:r>
        <w:rPr>
          <w:i/>
          <w:iCs/>
          <w:sz w:val="20"/>
        </w:rPr>
        <w:t>Advertising on the web will increase</w:t>
      </w:r>
    </w:p>
    <w:p>
      <w:pPr>
        <w:pStyle w:val="Normal"/>
        <w:ind w:start="360" w:end="0"/>
        <w:rPr>
          <w:i/>
          <w:i/>
          <w:iCs/>
          <w:sz w:val="20"/>
        </w:rPr>
      </w:pPr>
      <w:r>
        <w:rPr>
          <w:i/>
          <w:iCs/>
          <w:sz w:val="20"/>
        </w:rPr>
      </w:r>
    </w:p>
    <w:p>
      <w:pPr>
        <w:pStyle w:val="Normal"/>
        <w:rPr>
          <w:sz w:val="20"/>
        </w:rPr>
      </w:pPr>
      <w:r>
        <w:rPr>
          <w:sz w:val="20"/>
        </w:rPr>
        <w:t xml:space="preserve">Currently 94% of US marketers have websites, and 51% of direct marketers conduct e-commerce transactions online. About 2% of all retail sales now occur over the Internet. Spending on interactive media is expected to grow 39% a year for the next five years. </w:t>
      </w:r>
    </w:p>
    <w:p>
      <w:pPr>
        <w:pStyle w:val="Normal"/>
        <w:rPr>
          <w:sz w:val="20"/>
        </w:rPr>
      </w:pPr>
      <w:r>
        <w:rPr>
          <w:sz w:val="20"/>
        </w:rPr>
      </w:r>
    </w:p>
    <w:p>
      <w:pPr>
        <w:pStyle w:val="BodyText3"/>
        <w:spacing w:before="240" w:after="0"/>
        <w:rPr/>
      </w:pPr>
      <w:r>
        <w:rPr/>
        <w:t>The Internet and computers so far have proven to be positive for catalogs (primarily printed on coated paper and supercalendered paper), as more computer-related materials get printed, but retailers are now shifting spending to the Internet taking a bite out of print budgets. Printed catalogs will continue to grow, but at lower rates of about 1-2% versus the 40% increase of electronic catalogs, over the next five years. The postal rate hike will play a negative role in 2002-03 as it will accelerate the move of catalogs to the web. As well, higher postal costs have traditionally led to a one-year dip in mail volumes due to reduced catalog print runs, page size and page numbers.</w:t>
      </w:r>
    </w:p>
    <w:p>
      <w:pPr>
        <w:pStyle w:val="Normal"/>
        <w:rPr>
          <w:sz w:val="20"/>
        </w:rPr>
      </w:pPr>
      <w:r>
        <w:rPr>
          <w:sz w:val="20"/>
        </w:rPr>
      </w:r>
    </w:p>
    <w:p>
      <w:pPr>
        <w:pStyle w:val="BodyText3"/>
        <w:spacing w:before="240" w:after="0"/>
        <w:rPr/>
      </w:pPr>
      <w:r>
        <w:rPr/>
        <w:t>In magazines the impact will be different. So far circulation has only been impacted marginally. In the future, the major loss will come from advertising shift where 11% of magazine ad volume is expected to shift to the Internet over the next 15 years. As a result, magazine paper consumption will grow by only 0.3 % in this period versus the 1% growth seen in the last decade. (In terms of online news and reading, e-books are growing in popularity but they are expected to remain a tiny fraction of the market for the next five years. Online newspapers and magazines will have a small negative impact on print circulation.</w:t>
      </w:r>
    </w:p>
    <w:p>
      <w:pPr>
        <w:pStyle w:val="Normal"/>
        <w:rPr>
          <w:sz w:val="20"/>
        </w:rPr>
      </w:pPr>
      <w:r>
        <w:rPr>
          <w:sz w:val="20"/>
        </w:rPr>
      </w:r>
    </w:p>
    <w:p>
      <w:pPr>
        <w:pStyle w:val="Normal"/>
        <w:rPr>
          <w:sz w:val="20"/>
        </w:rPr>
      </w:pPr>
      <w:r>
        <w:rPr>
          <w:sz w:val="20"/>
        </w:rPr>
        <w:t>The printing and writing outlook for 2002 is very poor due to sluggish print advertising, postal rate hike, and end-users shift towards cheaper papers. These developments will lead to lower circulation and slimmer sizes of catalogs and magazines and to capacity closures.  On the other hand, capacity for supercalendered paper and lightweight coated will expand. Independent of any Internet impacts, coated freesheet paper will be hit due to the continued trend of replacing this grade with the cheaper supercalendered and groundwood papers.</w:t>
      </w:r>
    </w:p>
    <w:p>
      <w:pPr>
        <w:pStyle w:val="Normal"/>
        <w:rPr>
          <w:sz w:val="20"/>
        </w:rPr>
      </w:pPr>
      <w:r>
        <w:rPr>
          <w:sz w:val="20"/>
        </w:rPr>
      </w:r>
    </w:p>
    <w:p>
      <w:pPr>
        <w:pStyle w:val="Normal"/>
        <w:rPr>
          <w:sz w:val="20"/>
        </w:rPr>
      </w:pPr>
      <w:r>
        <w:rPr>
          <w:sz w:val="20"/>
        </w:rPr>
        <w:t xml:space="preserve">The impact of the electronic media on paper demand will be spread out over the next 15 years. The impact will be mostly on coated paper products like catalogs and magazines. Recognizing the maturing of demand, as well as the traditional competitive impacts, about 4.2 million tons of printing &amp; writing paper capacity has been shut in North America since 1999. (In Europe this number is only about 0.62 million tons as European producers continue to invest in technology.) </w:t>
      </w:r>
    </w:p>
    <w:p>
      <w:pPr>
        <w:pStyle w:val="Normal"/>
        <w:rPr>
          <w:sz w:val="20"/>
        </w:rPr>
      </w:pPr>
      <w:r>
        <w:rPr>
          <w:sz w:val="20"/>
        </w:rPr>
      </w:r>
    </w:p>
    <w:p>
      <w:pPr>
        <w:pStyle w:val="Normal"/>
        <w:rPr>
          <w:sz w:val="20"/>
        </w:rPr>
      </w:pPr>
      <w:r>
        <w:rPr>
          <w:sz w:val="20"/>
        </w:rPr>
        <w:t xml:space="preserve">Most of the lower demand growth in North America can be supplied by imports, while domestic capacity is likely to be constrained. Closure of inefficient capacity is likely to continue. RISI forecasts an average growth of printing &amp; writing papers of about 2 percent over the next few years. </w:t>
      </w:r>
    </w:p>
    <w:p>
      <w:pPr>
        <w:pStyle w:val="Normal"/>
        <w:rPr>
          <w:sz w:val="20"/>
        </w:rPr>
      </w:pPr>
      <w:r>
        <w:rPr>
          <w:sz w:val="20"/>
        </w:rPr>
      </w:r>
    </w:p>
    <w:p>
      <w:pPr>
        <w:pStyle w:val="Normal"/>
        <w:rPr>
          <w:sz w:val="20"/>
        </w:rPr>
      </w:pPr>
      <w:r>
        <w:rPr>
          <w:sz w:val="20"/>
        </w:rPr>
        <w:t xml:space="preserve">In terms of imports to North America, Western European shipments will continue but the main area of growth for Europeans will be Eastern Europe. North American imports of coated freesheet will continue to grow because no capacity increases are planned for the region. Instead, the capacity increase will take place in Europe and China. </w:t>
      </w:r>
    </w:p>
    <w:p>
      <w:pPr>
        <w:pStyle w:val="Normal"/>
        <w:rPr>
          <w:sz w:val="20"/>
        </w:rPr>
      </w:pPr>
      <w:r>
        <w:rPr>
          <w:sz w:val="20"/>
        </w:rPr>
      </w:r>
    </w:p>
    <w:p>
      <w:pPr>
        <w:pStyle w:val="Normal"/>
        <w:rPr>
          <w:sz w:val="20"/>
        </w:rPr>
      </w:pPr>
      <w:r>
        <w:rPr>
          <w:sz w:val="20"/>
        </w:rPr>
        <w:t xml:space="preserve">Due to the weak demand forecasted for the printing and writing papers, the short-term outlook for pulp doesn’t look very good either. The economic uncertainty remains high and provides no catalyst for a large-scale consumer inventory build-up. </w:t>
      </w:r>
    </w:p>
    <w:p>
      <w:pPr>
        <w:pStyle w:val="Normal"/>
        <w:rPr>
          <w:sz w:val="20"/>
        </w:rPr>
      </w:pPr>
      <w:r>
        <w:rPr>
          <w:sz w:val="20"/>
        </w:rPr>
      </w:r>
    </w:p>
    <w:p>
      <w:pPr>
        <w:pStyle w:val="Normal"/>
        <w:rPr>
          <w:sz w:val="20"/>
        </w:rPr>
      </w:pPr>
      <w:r>
        <w:rPr>
          <w:sz w:val="20"/>
        </w:rPr>
        <w:t>One of the main trends that we will continue to see in the future is the declining share of shipments coming out of Norscan countries. Instead nontraditional regions will start to dominate the market through capacity expansion plans i.e. Latin America. This region is favorable for pulp expansion due to rising harvest yields, lower wood costs, and favorable currency developments. Also, funding for Latin American companies’ expansion is available as their balance sheets have improved. While Latin America has aggressive expansion plans, Asia is lacking a bit behind. In 2002 the list of top pulp producers will change and Brazil will replace Sweden as the world’s third largest pulp producer.</w:t>
      </w:r>
    </w:p>
    <w:p>
      <w:pPr>
        <w:pStyle w:val="Normal"/>
        <w:rPr>
          <w:sz w:val="20"/>
        </w:rPr>
      </w:pPr>
      <w:r>
        <w:rPr>
          <w:sz w:val="20"/>
        </w:rPr>
      </w:r>
    </w:p>
    <w:p>
      <w:pPr>
        <w:pStyle w:val="Normal"/>
        <w:jc w:val="both"/>
        <w:rPr>
          <w:sz w:val="20"/>
        </w:rPr>
      </w:pPr>
      <w:r>
        <w:rPr>
          <w:sz w:val="20"/>
        </w:rPr>
        <w:t>Demand growth for pulp is forecasted to be 2.1% over the next decade. Most of the growth will be in the hardwoods. Demand in BHKP will rise by 3.3% and there will be more incentives to expand the capacity in this grade. No capacity expansions are needed in the short-term though. The current capacity is enough to satisfy the demand for pulp.</w:t>
      </w:r>
    </w:p>
    <w:p>
      <w:pPr>
        <w:pStyle w:val="Normal"/>
        <w:rPr>
          <w:sz w:val="20"/>
        </w:rPr>
      </w:pPr>
      <w:r>
        <w:rPr>
          <w:sz w:val="20"/>
        </w:rPr>
      </w:r>
    </w:p>
    <w:p>
      <w:pPr>
        <w:pStyle w:val="Normal"/>
        <w:rPr>
          <w:sz w:val="20"/>
        </w:rPr>
      </w:pPr>
      <w:r>
        <w:rPr>
          <w:sz w:val="20"/>
        </w:rPr>
        <w:t>The general sentiment in the market is that the pulp and paper industry must continue to consolidate, close inefficient capacity, and restrain capacity growth to succeed in the new economy. Merger and acquisitions are a more cost effective way to add capacity rather than building greenfield mills. Many of the industry’s closures are directly related to consolidation and will help to match supply with demand.</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sectPr>
      <w:headerReference w:type="default" r:id="rId2"/>
      <w:type w:val="nextPage"/>
      <w:pgSz w:w="12240" w:h="15840"/>
      <w:pgMar w:left="1296" w:right="1296"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n-CA" w:eastAsia="en-CA"/>
      </w:rPr>
    </w:pPr>
    <w:r>
      <w:rPr>
        <w:sz w:val="20"/>
        <w:lang w:val="en-CA" w:eastAsia="en-CA"/>
      </w:rPr>
      <w:drawing>
        <wp:anchor behindDoc="1" distT="0" distB="0" distL="114935" distR="114935" simplePos="0" locked="0" layoutInCell="1" allowOverlap="1" relativeHeight="3">
          <wp:simplePos x="0" y="0"/>
          <wp:positionH relativeFrom="column">
            <wp:posOffset>0</wp:posOffset>
          </wp:positionH>
          <wp:positionV relativeFrom="paragraph">
            <wp:posOffset>635</wp:posOffset>
          </wp:positionV>
          <wp:extent cx="1876425" cy="6858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4" t="-54" r="-24" b="-54"/>
                  <a:stretch>
                    <a:fillRect/>
                  </a:stretch>
                </pic:blipFill>
                <pic:spPr bwMode="auto">
                  <a:xfrm>
                    <a:off x="0" y="0"/>
                    <a:ext cx="1876425" cy="685800"/>
                  </a:xfrm>
                  <a:prstGeom prst="rect">
                    <a:avLst/>
                  </a:prstGeom>
                  <a:noFill/>
                </pic:spPr>
              </pic:pic>
            </a:graphicData>
          </a:graphic>
        </wp:anchor>
      </w:drawing>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FF0000"/>
      <w:sz w:val="22"/>
    </w:rPr>
  </w:style>
  <w:style w:type="paragraph" w:styleId="BodyText3">
    <w:name w:val="Body Text 3"/>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2001-10-30T18:34:00Z</dcterms:created>
  <dc:creator>mcaushol</dc:creator>
  <dc:description/>
  <dc:language>en-CA</dc:language>
  <cp:lastModifiedBy>mcaushol</cp:lastModifiedBy>
  <cp:lastPrinted>2001-10-30T09:01:00Z</cp:lastPrinted>
  <dcterms:modified xsi:type="dcterms:W3CDTF">2001-10-30T18:34:00Z</dcterms:modified>
  <cp:revision>2</cp:revision>
  <dc:subject/>
  <dc:title>Summary Report</dc:title>
</cp:coreProperties>
</file>