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90" w:start="-90" w:end="-360"/>
        <w:rPr/>
      </w:pPr>
      <w:r>
        <w:rPr/>
        <w:t>CONFIDENTIALITY AGREEMENT</w:t>
      </w:r>
    </w:p>
    <w:p>
      <w:pPr>
        <w:pStyle w:val="Heading"/>
        <w:ind w:firstLine="90" w:start="-90" w:end="-360"/>
        <w:rPr/>
      </w:pPr>
      <w:r>
        <w:rPr/>
      </w:r>
    </w:p>
    <w:p>
      <w:pPr>
        <w:pStyle w:val="Heading"/>
        <w:ind w:start="-90" w:end="-360"/>
        <w:jc w:val="start"/>
        <w:rPr>
          <w:b w:val="false"/>
        </w:rPr>
      </w:pPr>
      <w:r>
        <w:rPr>
          <w:b w:val="false"/>
        </w:rPr>
      </w:r>
    </w:p>
    <w:p>
      <w:pPr>
        <w:pStyle w:val="Heading"/>
        <w:ind w:start="-90" w:end="-360"/>
        <w:jc w:val="start"/>
        <w:rPr>
          <w:b w:val="false"/>
        </w:rPr>
      </w:pPr>
      <w:r>
        <w:rPr>
          <w:b w:val="false"/>
        </w:rPr>
        <w:t>1.</w:t>
        <w:tab/>
        <w:t>The Committee on Rules of the California State Senate ("the Committee") and the Select Committee to Investigate Price Manipulation of the Wholesale Energy Market (“the Select Committee”) hereby agree to maintain the confidentiality of the following information provided to the Select Committee by ____________________________________________________: ("________________”):</w:t>
      </w:r>
    </w:p>
    <w:p>
      <w:pPr>
        <w:pStyle w:val="Heading"/>
        <w:ind w:start="-90" w:end="-360"/>
        <w:jc w:val="start"/>
        <w:rPr>
          <w:b w:val="false"/>
        </w:rPr>
      </w:pPr>
      <w:r>
        <w:rPr>
          <w:b w:val="false"/>
        </w:rPr>
      </w:r>
    </w:p>
    <w:p>
      <w:pPr>
        <w:pStyle w:val="Heading"/>
        <w:ind w:start="-90" w:end="-360"/>
        <w:jc w:val="start"/>
        <w:rPr>
          <w:b w:val="false"/>
          <w:strike/>
        </w:rPr>
      </w:pPr>
      <w:r>
        <w:rPr>
          <w:b w:val="false"/>
        </w:rPr>
        <w:tab/>
        <w:tab/>
        <w:t>a.</w:t>
        <w:tab/>
        <w:t>Information required to be kept confidential pursuant to an applicable FERC</w:t>
      </w:r>
      <w:r>
        <w:rPr>
          <w:b w:val="false"/>
          <w:u w:val="single"/>
        </w:rPr>
        <w:t xml:space="preserve"> </w:t>
      </w:r>
      <w:r>
        <w:rPr>
          <w:b w:val="false"/>
        </w:rPr>
        <w:t>rule, regulation, or tariff; and</w:t>
      </w:r>
    </w:p>
    <w:p>
      <w:pPr>
        <w:pStyle w:val="Heading"/>
        <w:ind w:start="-90" w:end="-360"/>
        <w:jc w:val="start"/>
        <w:rPr>
          <w:b w:val="false"/>
          <w:strike/>
        </w:rPr>
      </w:pPr>
      <w:r>
        <w:rPr>
          <w:b w:val="false"/>
          <w:strike/>
        </w:rPr>
      </w:r>
    </w:p>
    <w:p>
      <w:pPr>
        <w:pStyle w:val="Heading"/>
        <w:ind w:firstLine="810" w:start="-90" w:end="-360"/>
        <w:jc w:val="start"/>
        <w:rPr>
          <w:b w:val="false"/>
        </w:rPr>
      </w:pPr>
      <w:r>
        <w:rPr>
          <w:b w:val="false"/>
        </w:rPr>
        <w:t>b.</w:t>
        <w:tab/>
        <w:t>Confidential “trade secret” information, as defined by Civil Code § 3426.1(d);</w:t>
      </w:r>
    </w:p>
    <w:p>
      <w:pPr>
        <w:pStyle w:val="Heading"/>
        <w:ind w:start="-90" w:end="-360"/>
        <w:jc w:val="start"/>
        <w:rPr>
          <w:b w:val="false"/>
        </w:rPr>
      </w:pPr>
      <w:r>
        <w:rPr>
          <w:b w:val="false"/>
        </w:rPr>
      </w:r>
    </w:p>
    <w:p>
      <w:pPr>
        <w:pStyle w:val="Heading"/>
        <w:ind w:start="-90" w:end="-360"/>
        <w:jc w:val="start"/>
        <w:rPr/>
      </w:pPr>
      <w:r>
        <w:rPr>
          <w:b w:val="false"/>
        </w:rPr>
        <w:tab/>
        <w:tab/>
        <w:t>c.</w:t>
        <w:tab/>
        <w:t>Information properly designated by _________________ as “sensitive and proprietary financial information.”  (</w:t>
      </w:r>
      <w:r>
        <w:rPr>
          <w:b w:val="false"/>
          <w:i/>
        </w:rPr>
        <w:t>See, e.g., Hoffman Corp. v. Superior Court</w:t>
      </w:r>
      <w:r>
        <w:rPr>
          <w:b w:val="false"/>
        </w:rPr>
        <w:t xml:space="preserve"> (1985) 172 Cal.App.3d 357, 362-363; </w:t>
      </w:r>
      <w:r>
        <w:rPr>
          <w:b w:val="false"/>
          <w:i/>
        </w:rPr>
        <w:t>GT Inc. v. Superior Court</w:t>
      </w:r>
      <w:r>
        <w:rPr>
          <w:b w:val="false"/>
        </w:rPr>
        <w:t xml:space="preserve"> (1984) 151 Cal.App.3d 748, 755.)</w:t>
      </w:r>
    </w:p>
    <w:p>
      <w:pPr>
        <w:pStyle w:val="Heading"/>
        <w:ind w:start="-90" w:end="-360"/>
        <w:jc w:val="start"/>
        <w:rPr>
          <w:b w:val="false"/>
        </w:rPr>
      </w:pPr>
      <w:r>
        <w:rPr>
          <w:b w:val="false"/>
        </w:rPr>
      </w:r>
    </w:p>
    <w:p>
      <w:pPr>
        <w:pStyle w:val="Heading"/>
        <w:ind w:start="-90" w:end="-360"/>
        <w:jc w:val="start"/>
        <w:rPr>
          <w:b w:val="false"/>
        </w:rPr>
      </w:pPr>
      <w:r>
        <w:rPr>
          <w:b w:val="false"/>
        </w:rPr>
        <w:t>2.</w:t>
        <w:tab/>
        <w:t>The information described in paragraph one may be used only to further the purposes of the Select Committee, and may be shared only with the Select Committee Members, staff of the Select Committee Members and of the Select Committee, the Legislative Counsel, the Legislative Analyst, the State Auditor, and experts and consultants used by the Select Committee for the purpose of advising the Select Committee, or preparing for or testifying in the Select Committee proceedings.</w:t>
      </w:r>
    </w:p>
    <w:p>
      <w:pPr>
        <w:pStyle w:val="Heading"/>
        <w:ind w:start="-90" w:end="-360"/>
        <w:jc w:val="start"/>
        <w:rPr>
          <w:b w:val="false"/>
        </w:rPr>
      </w:pPr>
      <w:r>
        <w:rPr>
          <w:b w:val="false"/>
        </w:rPr>
      </w:r>
    </w:p>
    <w:p>
      <w:pPr>
        <w:pStyle w:val="Heading"/>
        <w:ind w:start="-90" w:end="-360"/>
        <w:jc w:val="start"/>
        <w:rPr>
          <w:b w:val="false"/>
        </w:rPr>
      </w:pPr>
      <w:r>
        <w:rPr>
          <w:b w:val="false"/>
        </w:rPr>
        <w:t>3.</w:t>
        <w:tab/>
        <w:t>Authorized persons and others receiving access to the documents hereunder, other than Members, shall sign an agreement that they have read, understood and agree to be bound by this Agreement.  Members receiving access to these documents shall sign a document indicating that they have read and understand this Agreement.</w:t>
      </w:r>
    </w:p>
    <w:p>
      <w:pPr>
        <w:pStyle w:val="Heading"/>
        <w:ind w:start="-90" w:end="-360"/>
        <w:jc w:val="start"/>
        <w:rPr>
          <w:b w:val="false"/>
        </w:rPr>
      </w:pPr>
      <w:r>
        <w:rPr>
          <w:b w:val="false"/>
        </w:rPr>
      </w:r>
    </w:p>
    <w:p>
      <w:pPr>
        <w:pStyle w:val="Heading"/>
        <w:ind w:start="-90" w:end="-360"/>
        <w:jc w:val="start"/>
        <w:rPr>
          <w:b w:val="false"/>
        </w:rPr>
      </w:pPr>
      <w:r>
        <w:rPr>
          <w:b w:val="false"/>
        </w:rPr>
        <w:t>4.</w:t>
        <w:tab/>
        <w:t>If a request under the Legislative Open Records Act (Art. 3.5 (commencing with Sec. 9070), Ch. 1.5, Div. 2, Title 2, Gov. C.) is made of any person having access to the information provided to the Select Committee by ________________________, the Select Committee will:</w:t>
      </w:r>
    </w:p>
    <w:p>
      <w:pPr>
        <w:pStyle w:val="Heading"/>
        <w:ind w:start="-90" w:end="-360"/>
        <w:jc w:val="start"/>
        <w:rPr>
          <w:b w:val="false"/>
        </w:rPr>
      </w:pPr>
      <w:r>
        <w:rPr>
          <w:b w:val="false"/>
        </w:rPr>
      </w:r>
    </w:p>
    <w:p>
      <w:pPr>
        <w:pStyle w:val="Heading"/>
        <w:ind w:start="-90" w:end="-360"/>
        <w:jc w:val="start"/>
        <w:rPr>
          <w:b w:val="false"/>
        </w:rPr>
      </w:pPr>
      <w:r>
        <w:rPr>
          <w:b w:val="false"/>
        </w:rPr>
        <w:tab/>
        <w:tab/>
        <w:t>a.</w:t>
        <w:tab/>
        <w:t>Review the request and determine which, if any, of the requested materials are confidential under paragraph one of this agreement;</w:t>
      </w:r>
    </w:p>
    <w:p>
      <w:pPr>
        <w:pStyle w:val="Heading"/>
        <w:ind w:end="-360"/>
        <w:jc w:val="start"/>
        <w:rPr>
          <w:b w:val="false"/>
        </w:rPr>
      </w:pPr>
      <w:r>
        <w:rPr>
          <w:b w:val="false"/>
        </w:rPr>
      </w:r>
    </w:p>
    <w:p>
      <w:pPr>
        <w:pStyle w:val="Heading"/>
        <w:ind w:start="-90" w:end="-360"/>
        <w:jc w:val="start"/>
        <w:rPr>
          <w:b w:val="false"/>
        </w:rPr>
      </w:pPr>
      <w:r>
        <w:rPr>
          <w:b w:val="false"/>
        </w:rPr>
        <w:tab/>
        <w:tab/>
        <w:t>b.</w:t>
        <w:tab/>
        <w:t>Notify ___________________ of the request; and</w:t>
      </w:r>
    </w:p>
    <w:p>
      <w:pPr>
        <w:pStyle w:val="Heading"/>
        <w:ind w:start="-90" w:end="-360"/>
        <w:jc w:val="start"/>
        <w:rPr>
          <w:b w:val="false"/>
        </w:rPr>
      </w:pPr>
      <w:r>
        <w:rPr>
          <w:b w:val="false"/>
        </w:rPr>
      </w:r>
    </w:p>
    <w:p>
      <w:pPr>
        <w:pStyle w:val="Heading"/>
        <w:ind w:start="-90" w:end="-360"/>
        <w:jc w:val="start"/>
        <w:rPr>
          <w:b w:val="false"/>
        </w:rPr>
      </w:pPr>
      <w:r>
        <w:rPr>
          <w:b w:val="false"/>
        </w:rPr>
        <w:tab/>
        <w:tab/>
        <w:t>c.</w:t>
        <w:tab/>
        <w:t>Refrain from publicly releasing any requested material for a period of at least 10 business days, or four business days if the Legislature is in session.</w:t>
      </w:r>
    </w:p>
    <w:p>
      <w:pPr>
        <w:pStyle w:val="Heading"/>
        <w:ind w:start="-90" w:end="-360"/>
        <w:jc w:val="start"/>
        <w:rPr>
          <w:b w:val="false"/>
        </w:rPr>
      </w:pPr>
      <w:r>
        <w:rPr>
          <w:b w:val="false"/>
        </w:rPr>
      </w:r>
    </w:p>
    <w:p>
      <w:pPr>
        <w:pStyle w:val="Heading"/>
        <w:ind w:start="-90" w:end="-360"/>
        <w:jc w:val="start"/>
        <w:rPr>
          <w:b w:val="false"/>
        </w:rPr>
      </w:pPr>
      <w:r>
        <w:rPr>
          <w:b w:val="false"/>
        </w:rPr>
        <w:t>5.</w:t>
        <w:tab/>
        <w:t>If, within the applicable period specified in Paragraph 3, _______________________ provides the Select Committee with a written objection to the release of the requested materials based upon a claim that the requested materials fall within one or more of the categories set forth under paragraph one of this agreement, the Select Committee will refrain from publicly releasing the materials until authorized by ___________________ or required by a court order.  If ___________________ does not object to the release of the requested materials within the applicable period, the Select Committee shall have discretion to disclose the materials to the requester.  In the event that a requester under the Legislative Open Records Act seeks to compel the production of requested materials by instituting a legal action, nothing in this agreement shall constitute a waiver of any right by __________________ to petition to intervene in the action in order to oppose the public disclosure of the requested materials.</w:t>
      </w:r>
    </w:p>
    <w:p>
      <w:pPr>
        <w:pStyle w:val="Heading"/>
        <w:ind w:start="-90" w:end="-360"/>
        <w:jc w:val="start"/>
        <w:rPr>
          <w:b w:val="false"/>
        </w:rPr>
      </w:pPr>
      <w:r>
        <w:rPr>
          <w:b w:val="false"/>
        </w:rPr>
      </w:r>
    </w:p>
    <w:p>
      <w:pPr>
        <w:pStyle w:val="Heading"/>
        <w:ind w:start="-90" w:end="-360"/>
        <w:jc w:val="start"/>
        <w:rPr>
          <w:b w:val="false"/>
        </w:rPr>
      </w:pPr>
      <w:r>
        <w:rPr>
          <w:b w:val="false"/>
        </w:rPr>
        <w:t>6.</w:t>
        <w:tab/>
        <w:t>Should the Select Committee discover information that reasonably appears relevant to its investigation, the Select Committee reserves the right to share this information with the California Attorney General or other appropriate enforcement agency, subject to such agency agreeing to be bound by the confidentiality constraints set forth in this agreement.</w:t>
      </w:r>
    </w:p>
    <w:p>
      <w:pPr>
        <w:pStyle w:val="Heading"/>
        <w:ind w:start="-90" w:end="-360"/>
        <w:jc w:val="start"/>
        <w:rPr>
          <w:b w:val="false"/>
        </w:rPr>
      </w:pPr>
      <w:r>
        <w:rPr>
          <w:b w:val="false"/>
        </w:rPr>
      </w:r>
    </w:p>
    <w:p>
      <w:pPr>
        <w:pStyle w:val="Heading"/>
        <w:ind w:start="-90" w:end="-360"/>
        <w:jc w:val="start"/>
        <w:rPr>
          <w:b w:val="false"/>
        </w:rPr>
      </w:pPr>
      <w:r>
        <w:rPr>
          <w:b w:val="false"/>
        </w:rPr>
        <w:tab/>
        <w:t>7.</w:t>
        <w:tab/>
        <w:t>Should the Select Committee share the information described in paragraph 6 with another agency or entity, the Select Committee will notify ___________________ of the agency or entity the information is shared with.  The agency or other entity to whom the information is sent shall agree to sign and be bound by this Agreement.</w:t>
      </w:r>
    </w:p>
    <w:p>
      <w:pPr>
        <w:pStyle w:val="Heading"/>
        <w:ind w:start="-90" w:end="-360"/>
        <w:jc w:val="start"/>
        <w:rPr>
          <w:b w:val="false"/>
        </w:rPr>
      </w:pPr>
      <w:r>
        <w:rPr>
          <w:b w:val="false"/>
        </w:rPr>
      </w:r>
    </w:p>
    <w:p>
      <w:pPr>
        <w:pStyle w:val="Heading"/>
        <w:ind w:start="-90" w:end="-360"/>
        <w:jc w:val="start"/>
        <w:rPr>
          <w:b w:val="false"/>
        </w:rPr>
      </w:pPr>
      <w:r>
        <w:rPr>
          <w:b w:val="false"/>
        </w:rPr>
        <w:t>8.</w:t>
        <w:tab/>
        <w:t>This agreement applies only to information delivered by ______________________ under this agreement and does not apply to materials obtained from any other source.  This agreement does not waive the right of the Select Committee to enforce its subpoena in the event of a dispute between the parties as to the confidential nature of the materials.  This agreement does not waive any of the rights and defenses of ______________________ in the event of a dispute between the parties.  By signing this agreement, ______________________ does not agree to produce materials protected from disclosure by the attorney/client or attorney work product privileges, although ________________________ shall provide the Select Committee with a log identifying any materials claimed to be protected by these privileges.</w:t>
      </w:r>
    </w:p>
    <w:p>
      <w:pPr>
        <w:pStyle w:val="Heading"/>
        <w:ind w:start="-90" w:end="-360"/>
        <w:jc w:val="start"/>
        <w:rPr>
          <w:b w:val="false"/>
        </w:rPr>
      </w:pPr>
      <w:r>
        <w:rPr>
          <w:b w:val="false"/>
        </w:rPr>
      </w:r>
    </w:p>
    <w:p>
      <w:pPr>
        <w:pStyle w:val="Heading"/>
        <w:ind w:start="-90" w:end="-360"/>
        <w:jc w:val="start"/>
        <w:rPr>
          <w:b w:val="false"/>
        </w:rPr>
      </w:pPr>
      <w:r>
        <w:rPr>
          <w:b w:val="false"/>
        </w:rPr>
        <w:t>9.</w:t>
        <w:tab/>
        <w:t>________________________ shall have the right to designate certain material as “ultra-sensitive.”  _________________________ may either produce the "ultra-sensitive" documents to the repository, or provide the Select Committee with a detailed index of materials so designated in lieu of providing the materials.  However, the Select Committee may make a specific request for all or a portion of the materials on the detailed index.  Upon receipt of such a request, ______________________ shall immediately deliver the documents to the repository, but copying or removal of the documents by the Senate shall be subject to further agreement by the parties.</w:t>
      </w:r>
    </w:p>
    <w:p>
      <w:pPr>
        <w:pStyle w:val="Heading"/>
        <w:ind w:start="-90" w:end="-360"/>
        <w:jc w:val="start"/>
        <w:rPr>
          <w:b w:val="false"/>
        </w:rPr>
      </w:pPr>
      <w:r>
        <w:rPr>
          <w:b w:val="false"/>
        </w:rPr>
      </w:r>
    </w:p>
    <w:p>
      <w:pPr>
        <w:pStyle w:val="Heading"/>
        <w:ind w:start="-90" w:end="-360"/>
        <w:jc w:val="start"/>
        <w:rPr>
          <w:b w:val="false"/>
        </w:rPr>
      </w:pPr>
      <w:r>
        <w:rPr>
          <w:b w:val="false"/>
        </w:rPr>
        <w:t>10.</w:t>
        <w:tab/>
        <w:t>Documents deemed confidential pursuant to paragraph 1 will not be made part of the public record, except under seal.</w:t>
      </w:r>
    </w:p>
    <w:p>
      <w:pPr>
        <w:pStyle w:val="Heading"/>
        <w:ind w:start="-90" w:end="-360"/>
        <w:jc w:val="start"/>
        <w:rPr>
          <w:b w:val="false"/>
        </w:rPr>
      </w:pPr>
      <w:r>
        <w:rPr>
          <w:b w:val="false"/>
        </w:rPr>
      </w:r>
    </w:p>
    <w:p>
      <w:pPr>
        <w:pStyle w:val="Heading"/>
        <w:ind w:start="-90" w:end="-360"/>
        <w:jc w:val="start"/>
        <w:rPr>
          <w:b w:val="false"/>
        </w:rPr>
      </w:pPr>
      <w:r>
        <w:rPr>
          <w:b w:val="false"/>
        </w:rPr>
        <w:t>11.</w:t>
        <w:tab/>
        <w:t>This agreement shall be governed and construed according to the laws of the state of California.</w:t>
      </w:r>
    </w:p>
    <w:p>
      <w:pPr>
        <w:pStyle w:val="Heading"/>
        <w:ind w:start="-90" w:end="-360"/>
        <w:jc w:val="start"/>
        <w:rPr>
          <w:b w:val="false"/>
        </w:rPr>
      </w:pPr>
      <w:r>
        <w:rPr>
          <w:b w:val="false"/>
        </w:rPr>
      </w:r>
    </w:p>
    <w:p>
      <w:pPr>
        <w:pStyle w:val="Heading"/>
        <w:ind w:start="-90" w:end="-360"/>
        <w:jc w:val="start"/>
        <w:rPr>
          <w:b w:val="false"/>
        </w:rPr>
      </w:pPr>
      <w:r>
        <w:rPr>
          <w:b w:val="false"/>
        </w:rPr>
        <w:t>12.</w:t>
        <w:tab/>
        <w:t>This agreement may be modified or terminated only by written agreement executed by representatives of the Committee or Select Committee and ________________________.</w:t>
      </w:r>
      <w:r>
        <w:br w:type="page"/>
      </w:r>
    </w:p>
    <w:p>
      <w:pPr>
        <w:pStyle w:val="Heading"/>
        <w:ind w:start="-90" w:end="-360"/>
        <w:jc w:val="start"/>
        <w:rPr>
          <w:b w:val="false"/>
        </w:rPr>
      </w:pPr>
      <w:r>
        <w:rPr>
          <w:b w:val="false"/>
        </w:rPr>
      </w:r>
    </w:p>
    <w:p>
      <w:pPr>
        <w:pStyle w:val="Heading"/>
        <w:ind w:start="-90" w:end="-360"/>
        <w:jc w:val="start"/>
        <w:rPr>
          <w:b w:val="false"/>
        </w:rPr>
      </w:pPr>
      <w:r>
        <w:rPr>
          <w:b w:val="false"/>
        </w:rPr>
        <w:t>13.</w:t>
        <w:tab/>
        <w:t>This agreement may be executed in counterparts.</w:t>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end="-360"/>
        <w:jc w:val="start"/>
        <w:rPr>
          <w:b w:val="false"/>
        </w:rPr>
      </w:pPr>
      <w:r>
        <w:rPr>
          <w:b w:val="false"/>
        </w:rPr>
        <w:t>It is so agreed.</w:t>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t>________________________________</w:t>
        <w:tab/>
        <w:tab/>
        <w:t>Dated:______________________</w:t>
      </w:r>
    </w:p>
    <w:p>
      <w:pPr>
        <w:pStyle w:val="Heading"/>
        <w:ind w:start="-90" w:end="-360"/>
        <w:jc w:val="start"/>
        <w:rPr>
          <w:b w:val="false"/>
        </w:rPr>
      </w:pPr>
      <w:r>
        <w:rPr>
          <w:b w:val="false"/>
        </w:rPr>
        <w:t>Greg Schmidt</w:t>
      </w:r>
    </w:p>
    <w:p>
      <w:pPr>
        <w:pStyle w:val="Heading"/>
        <w:ind w:start="-90" w:end="-360"/>
        <w:jc w:val="start"/>
        <w:rPr>
          <w:b w:val="false"/>
        </w:rPr>
      </w:pPr>
      <w:r>
        <w:rPr>
          <w:b w:val="false"/>
        </w:rPr>
        <w:t>Executive Officer of the Committee on Rules</w:t>
        <w:b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t>________________________________</w:t>
        <w:tab/>
        <w:tab/>
        <w:t>Dated:______________________</w:t>
      </w:r>
    </w:p>
    <w:p>
      <w:pPr>
        <w:pStyle w:val="Heading"/>
        <w:ind w:start="-90" w:end="-360"/>
        <w:jc w:val="start"/>
        <w:rPr>
          <w:b w:val="false"/>
        </w:rPr>
      </w:pPr>
      <w:r>
        <w:rPr>
          <w:b w:val="false"/>
        </w:rPr>
        <w:t>Senator Joseph L. Dunn</w:t>
      </w:r>
    </w:p>
    <w:p>
      <w:pPr>
        <w:pStyle w:val="Heading"/>
        <w:ind w:start="-90" w:end="-360"/>
        <w:jc w:val="start"/>
        <w:rPr>
          <w:b w:val="false"/>
        </w:rPr>
      </w:pPr>
      <w:r>
        <w:rPr>
          <w:b w:val="false"/>
        </w:rPr>
        <w:t>Select Committee Chair</w:t>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r>
    </w:p>
    <w:p>
      <w:pPr>
        <w:pStyle w:val="Heading"/>
        <w:ind w:start="-90" w:end="-360"/>
        <w:jc w:val="start"/>
        <w:rPr>
          <w:b w:val="false"/>
        </w:rPr>
      </w:pPr>
      <w:r>
        <w:rPr>
          <w:b w:val="false"/>
        </w:rPr>
        <w:t>________________________________</w:t>
        <w:tab/>
        <w:tab/>
        <w:t>Dated:______________________</w:t>
      </w:r>
    </w:p>
    <w:p>
      <w:pPr>
        <w:pStyle w:val="Heading"/>
        <w:ind w:start="-90" w:end="-360"/>
        <w:jc w:val="start"/>
        <w:rPr>
          <w:b w:val="false"/>
        </w:rPr>
      </w:pPr>
      <w:r>
        <w:rPr>
          <w:b w:val="false"/>
        </w:rPr>
      </w:r>
    </w:p>
    <w:p>
      <w:pPr>
        <w:pStyle w:val="Heading"/>
        <w:ind w:end="-360"/>
        <w:jc w:val="start"/>
        <w:rPr>
          <w:b w:val="false"/>
        </w:rPr>
      </w:pPr>
      <w:r>
        <w:rPr>
          <w:b w:val="false"/>
        </w:rPr>
      </w:r>
    </w:p>
    <w:sectPr>
      <w:footerReference w:type="default" r:id="rId2"/>
      <w:type w:val="nextPage"/>
      <w:pgSz w:w="12240" w:h="15840"/>
      <w:pgMar w:left="1530" w:right="171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2001-07-17T19:06:00Z</dcterms:created>
  <dc:creator>RPratt</dc:creator>
  <dc:description/>
  <dc:language>en-CA</dc:language>
  <cp:lastModifiedBy>Alexandra Montgomery</cp:lastModifiedBy>
  <cp:lastPrinted>2001-07-17T14:47:00Z</cp:lastPrinted>
  <dcterms:modified xsi:type="dcterms:W3CDTF">2001-07-17T19:17:00Z</dcterms:modified>
  <cp:revision>4</cp:revision>
  <dc:subject/>
  <dc:title>PROPOSED CONFIDENTIALITY AGREEMENT</dc:title>
</cp:coreProperties>
</file>