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fldChar w:fldCharType="begin"/>
      </w:r>
      <w:r>
        <w:rPr/>
        <w:instrText xml:space="preserve"> ADVANCE \d 59 </w:instrText>
      </w:r>
      <w:r>
        <w:rPr/>
      </w:r>
      <w:r>
        <w:rPr/>
        <w:fldChar w:fldCharType="separate"/>
      </w:r>
      <w:r>
        <w:rPr/>
      </w:r>
      <w:r>
        <w:rPr/>
      </w:r>
      <w:r>
        <w:rPr/>
        <w:fldChar w:fldCharType="end"/>
      </w:r>
      <w:r>
        <w:rPr/>
        <w:t>M E M O R A N D U M</w:t>
      </w:r>
    </w:p>
    <w:p>
      <w:pPr>
        <w:pStyle w:val="Normal"/>
        <w:rPr/>
      </w:pPr>
      <w:r>
        <w:rPr/>
      </w:r>
    </w:p>
    <w:p>
      <w:pPr>
        <w:pStyle w:val="Normal"/>
        <w:rPr/>
      </w:pPr>
      <w:r>
        <w:rPr/>
      </w:r>
    </w:p>
    <w:p>
      <w:pPr>
        <w:pStyle w:val="Normal"/>
        <w:rPr/>
      </w:pPr>
      <w:r>
        <w:rPr/>
      </w:r>
    </w:p>
    <w:p>
      <w:pPr>
        <w:pStyle w:val="Normal"/>
        <w:rPr/>
      </w:pPr>
      <w:r>
        <w:rPr/>
        <w:t>TO:</w:t>
        <w:tab/>
        <w:tab/>
        <w:t xml:space="preserve">Jim Keller </w:t>
      </w:r>
    </w:p>
    <w:p>
      <w:pPr>
        <w:pStyle w:val="Normal"/>
        <w:rPr/>
      </w:pPr>
      <w:r>
        <w:rPr/>
        <w:tab/>
        <w:tab/>
        <w:t>Bob Williams</w:t>
      </w:r>
    </w:p>
    <w:p>
      <w:pPr>
        <w:pStyle w:val="Normal"/>
        <w:rPr/>
      </w:pPr>
      <w:r>
        <w:rPr/>
      </w:r>
    </w:p>
    <w:p>
      <w:pPr>
        <w:pStyle w:val="Normal"/>
        <w:rPr/>
      </w:pPr>
      <w:r>
        <w:rPr/>
        <w:t>FROM:</w:t>
        <w:tab/>
        <w:t xml:space="preserve">William C. Frederking </w:t>
      </w:r>
    </w:p>
    <w:p>
      <w:pPr>
        <w:pStyle w:val="Normal"/>
        <w:rPr/>
      </w:pPr>
      <w:r>
        <w:rPr/>
      </w:r>
    </w:p>
    <w:p>
      <w:pPr>
        <w:pStyle w:val="Normal"/>
        <w:rPr/>
      </w:pPr>
      <w:r>
        <w:rPr/>
        <w:t>DATE:</w:t>
        <w:tab/>
        <w:tab/>
      </w: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ind w:hanging="1440" w:start="1440" w:end="0"/>
        <w:rPr/>
      </w:pPr>
      <w:r>
        <w:rPr/>
        <w:t>RE:</w:t>
        <w:tab/>
        <w:t>Conectiv Power Delivery New Jersey Third Party Supplier Agreement ("Supplier Agreement")</w:t>
      </w:r>
    </w:p>
    <w:p>
      <w:pPr>
        <w:pStyle w:val="Normal"/>
        <w:rPr/>
      </w:pPr>
      <w:r>
        <w:rPr/>
      </w:r>
    </w:p>
    <w:p>
      <w:pPr>
        <w:pStyle w:val="Normal"/>
        <w:rPr/>
      </w:pPr>
      <w:r>
        <w:rPr/>
        <w:t xml:space="preserve">Enron Energy Services, Inc. (“EES” or Supplier”) is attempting to become licensed in New Jersey to provide competitive energy supply to New Jersey customers.  As part of that process, EES is required to execute the above referenced Supplier Agreement.  Upon review of the Supplier Agreement by myself, Gloria Ogenyi and Richard Ring, we provided comments to Conectiv Power Delivery ("Conectiv" or "Company").  In response to our comments, Conectiv replied that they do not have the authority to approve modifications to the Agreement and must offer the same Agreement to all suppliers.  </w:t>
      </w:r>
    </w:p>
    <w:p>
      <w:pPr>
        <w:pStyle w:val="Normal"/>
        <w:rPr/>
      </w:pPr>
      <w:r>
        <w:rPr/>
      </w:r>
    </w:p>
    <w:p>
      <w:pPr>
        <w:pStyle w:val="Normal"/>
        <w:rPr/>
      </w:pPr>
      <w:r>
        <w:rPr/>
        <w:t>The purpose of this memo is to provide a summary of my primary concerns with the Supplier Agreement so that a determination may be made of whether EES should go forward under the Supplier Agreement in its current form.  Any capitalized terms not defined herein shall have the meaning given such terms in the Supplier Agreement.</w:t>
      </w:r>
    </w:p>
    <w:p>
      <w:pPr>
        <w:pStyle w:val="Normal"/>
        <w:rPr/>
      </w:pPr>
      <w:r>
        <w:rPr/>
      </w:r>
    </w:p>
    <w:p>
      <w:pPr>
        <w:pStyle w:val="Normal"/>
        <w:numPr>
          <w:ilvl w:val="0"/>
          <w:numId w:val="4"/>
        </w:numPr>
        <w:tabs>
          <w:tab w:val="clear" w:pos="720"/>
        </w:tabs>
        <w:spacing w:before="0" w:after="240"/>
        <w:ind w:hanging="720" w:start="720" w:end="0"/>
        <w:rPr/>
      </w:pPr>
      <w:r>
        <w:rPr>
          <w:u w:val="single"/>
        </w:rPr>
        <w:t>Definition of Customer</w:t>
      </w:r>
      <w:r>
        <w:rPr/>
        <w:t xml:space="preserve">.  With regard to the customers that may receive Competitive Energy Supply from EES, the Supplier Agreement’s definition of Customer is limited to those with a single metered location.  We attempted to amend the definition so that customers with </w:t>
      </w:r>
      <w:r>
        <w:rPr>
          <w:u w:val="single"/>
        </w:rPr>
        <w:t>multiple</w:t>
      </w:r>
      <w:r>
        <w:rPr/>
        <w:t xml:space="preserve"> metered locations would be included.  </w:t>
      </w:r>
    </w:p>
    <w:p>
      <w:pPr>
        <w:pStyle w:val="Normal"/>
        <w:numPr>
          <w:ilvl w:val="0"/>
          <w:numId w:val="4"/>
        </w:numPr>
        <w:tabs>
          <w:tab w:val="clear" w:pos="720"/>
        </w:tabs>
        <w:spacing w:before="0" w:after="240"/>
        <w:ind w:hanging="720" w:start="720" w:end="0"/>
        <w:rPr/>
      </w:pPr>
      <w:r>
        <w:rPr>
          <w:u w:val="single"/>
        </w:rPr>
        <w:t>Year 2000 Safeguards</w:t>
      </w:r>
      <w:r>
        <w:rPr/>
        <w:t xml:space="preserve">.  Section 2.9 states that the Supplier represents that it is in conformity with the Company's Year 2000 standards.  We attempted to delete this section along with Appendix A which is a Statement of Year 2000 Readiness.  </w:t>
      </w:r>
    </w:p>
    <w:p>
      <w:pPr>
        <w:pStyle w:val="Normal"/>
        <w:numPr>
          <w:ilvl w:val="0"/>
          <w:numId w:val="4"/>
        </w:numPr>
        <w:tabs>
          <w:tab w:val="clear" w:pos="720"/>
        </w:tabs>
        <w:spacing w:before="0" w:after="240"/>
        <w:ind w:hanging="720" w:start="720" w:end="0"/>
        <w:rPr/>
      </w:pPr>
      <w:r>
        <w:rPr>
          <w:u w:val="single"/>
        </w:rPr>
        <w:t>Change in Law or Regulation</w:t>
      </w:r>
      <w:r>
        <w:rPr/>
        <w:t>.  Section 5.5 states that if there is a change in law or regulation by which a party believes its rights and interests are materially and adversely affected, that party may, within thirty (30) days of the issuance of such new law or regulation, provide written notice that it wishes to terminate the Supplier Agreement.  We attempted to revise the section to require settlement talks and Board approval of termination before termination may occur.</w:t>
      </w:r>
    </w:p>
    <w:p>
      <w:pPr>
        <w:pStyle w:val="Normal"/>
        <w:numPr>
          <w:ilvl w:val="0"/>
          <w:numId w:val="4"/>
        </w:numPr>
        <w:tabs>
          <w:tab w:val="clear" w:pos="720"/>
        </w:tabs>
        <w:spacing w:before="0" w:after="240"/>
        <w:ind w:hanging="720" w:start="720" w:end="0"/>
        <w:rPr/>
      </w:pPr>
      <w:r>
        <w:rPr>
          <w:u w:val="single"/>
        </w:rPr>
        <w:t>Creditworthiness</w:t>
      </w:r>
      <w:r>
        <w:rPr/>
        <w:t xml:space="preserve">.  Section 7.3 of the Supplier Agreement provides that the Company may make all creditworthiness decisions in its "sole and exclusive judgment", including that if the Company believes that the Supplier's creditworthiness has lapsed, the Company may elect to terminate the Agreement on not sooner than ten (10) days written notice subject to the Supplier's right to dispute the Company's determination before the Board or the FERC, as appropriate. We attempted to revise this section to change the Company's standard of judgment from "sole and exclusive" to "commercially reasonable" and to state that if a dispute is timely submitted to the Board or FERC the Agreement could not be terminated until such entity approved the termination.  </w:t>
      </w:r>
    </w:p>
    <w:p>
      <w:pPr>
        <w:pStyle w:val="Normal"/>
        <w:numPr>
          <w:ilvl w:val="0"/>
          <w:numId w:val="4"/>
        </w:numPr>
        <w:tabs>
          <w:tab w:val="clear" w:pos="720"/>
        </w:tabs>
        <w:spacing w:before="0" w:after="240"/>
        <w:ind w:hanging="720" w:start="720" w:end="0"/>
        <w:rPr/>
      </w:pPr>
      <w:r>
        <w:rPr>
          <w:u w:val="single"/>
        </w:rPr>
        <w:t>PJM Requirements</w:t>
      </w:r>
      <w:r>
        <w:rPr/>
        <w:t xml:space="preserve">.  Section 15.3 provides that the Supplier must cooperate with the Company so that the Company will be in compliance with PJM regulations and other governmental or civil directives.  We attempted to amend these provisions by stating that the Supplier was not required to expend any funds to meet such cooperation obligations.  </w:t>
      </w:r>
    </w:p>
    <w:p>
      <w:pPr>
        <w:pStyle w:val="Normal"/>
        <w:keepNext w:val="true"/>
        <w:numPr>
          <w:ilvl w:val="0"/>
          <w:numId w:val="4"/>
        </w:numPr>
        <w:tabs>
          <w:tab w:val="clear" w:pos="720"/>
        </w:tabs>
        <w:spacing w:before="0" w:after="240"/>
        <w:ind w:hanging="720" w:start="720" w:end="0"/>
        <w:rPr/>
      </w:pPr>
      <w:r>
        <w:rPr>
          <w:u w:val="single"/>
        </w:rPr>
        <w:t>Limitation of Liability</w:t>
      </w:r>
      <w:r>
        <w:rPr/>
        <w:t xml:space="preserve">.  Section 20.1 states that the Company does not guarantee continuous, regular and uninterrupted supply of service, and that the Company shall not be liable to the Supplier for any loss or damage resulting from disconnection, curtailment, interruption or reduction.  We attempted to amend this provision by providing an exception for gross negligence or acts of willful misconduct.  </w:t>
      </w:r>
    </w:p>
    <w:p>
      <w:pPr>
        <w:pStyle w:val="Normal"/>
        <w:numPr>
          <w:ilvl w:val="0"/>
          <w:numId w:val="4"/>
        </w:numPr>
        <w:tabs>
          <w:tab w:val="clear" w:pos="720"/>
        </w:tabs>
        <w:spacing w:before="0" w:after="240"/>
        <w:ind w:hanging="720" w:start="720" w:end="0"/>
        <w:rPr/>
      </w:pPr>
      <w:r>
        <w:rPr>
          <w:u w:val="single"/>
        </w:rPr>
        <w:t>Change in Supplier</w:t>
      </w:r>
      <w:r>
        <w:rPr/>
        <w:t xml:space="preserve">.  We attempted to delete Section 21.3 which states that the Supplier will indemnify the Company from all claims arising out of the switching of customers to Competitive Power Supply service provided by the Supplier, including "slamming" claims.  </w:t>
      </w:r>
    </w:p>
    <w:p>
      <w:pPr>
        <w:pStyle w:val="Normal"/>
        <w:numPr>
          <w:ilvl w:val="0"/>
          <w:numId w:val="4"/>
        </w:numPr>
        <w:tabs>
          <w:tab w:val="clear" w:pos="720"/>
        </w:tabs>
        <w:spacing w:before="0" w:after="240"/>
        <w:ind w:hanging="720" w:start="720" w:end="0"/>
        <w:rPr/>
      </w:pPr>
      <w:r>
        <w:rPr>
          <w:u w:val="single"/>
        </w:rPr>
        <w:t>Assignment</w:t>
      </w:r>
      <w:r>
        <w:rPr/>
        <w:t xml:space="preserve">.  Section 22.4 allows for the Company to assign its rights and obligations to any entity succeeding to all or substantially all of the assets of the Company.  We attempted to amend the Section to make the provision bilateral.  </w:t>
      </w:r>
    </w:p>
    <w:p>
      <w:pPr>
        <w:pStyle w:val="Normal"/>
        <w:numPr>
          <w:ilvl w:val="0"/>
          <w:numId w:val="4"/>
        </w:numPr>
        <w:tabs>
          <w:tab w:val="clear" w:pos="720"/>
        </w:tabs>
        <w:spacing w:before="0" w:after="240"/>
        <w:ind w:hanging="720" w:start="720" w:end="0"/>
        <w:rPr/>
      </w:pPr>
      <w:r>
        <w:rPr>
          <w:u w:val="single"/>
        </w:rPr>
        <w:t>Governing Law and Venue</w:t>
      </w:r>
      <w:r>
        <w:rPr/>
        <w:t xml:space="preserve">.  The Supplier Agreement provides that it shall be governed by the laws of New Jersey and that any lawsuit arising in connection with the Agreement shall be brought in the state or federal courts of New Jersey.  </w:t>
      </w:r>
    </w:p>
    <w:p>
      <w:pPr>
        <w:pStyle w:val="Normal"/>
        <w:numPr>
          <w:ilvl w:val="0"/>
          <w:numId w:val="4"/>
        </w:numPr>
        <w:tabs>
          <w:tab w:val="clear" w:pos="720"/>
        </w:tabs>
        <w:spacing w:before="0" w:after="240"/>
        <w:ind w:hanging="720" w:start="720" w:end="0"/>
        <w:rPr/>
      </w:pPr>
      <w:r>
        <w:rPr>
          <w:u w:val="single"/>
        </w:rPr>
        <w:t>Taxes</w:t>
      </w:r>
      <w:r>
        <w:rPr/>
        <w:t xml:space="preserve">.  Section 22.9 provides that the Supplier shall be responsible for all taxes relating to sales to the Supplier's Customers under this Agreement.  So that this provision would not be considered a statement that Supplier did not have the right to pass certain taxes on to Customers, we attempted to amend this section to state that the Supplier would be liable or responsible for all taxes (other than income taxes) that are related to the services provided by the Company to the Supplier under this Agreement.  </w:t>
      </w:r>
    </w:p>
    <w:sectPr>
      <w:footerReference w:type="default" r:id="rId2"/>
      <w:type w:val="nextPage"/>
      <w:pgSz w:w="12240" w:h="15840"/>
      <w:pgMar w:left="1872" w:right="1728" w:gutter="0" w:header="0" w:top="965"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Houston\1285184.1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Bold" w:hAnsi="Times New Roman Bold" w:cs="Times New Roman Bold"/>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isLgl/>
      <w:numFmt w:val="decimal"/>
      <w:lvlText w:val="%1.%2.%3"/>
      <w:lvlJc w:val="start"/>
      <w:pPr>
        <w:tabs>
          <w:tab w:val="num" w:pos="2160"/>
        </w:tabs>
        <w:ind w:start="720" w:firstLine="720"/>
      </w:pPr>
      <w:rPr>
        <w:sz w:val="24"/>
        <w:i w:val="false"/>
        <w:u w:val="non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u w:val="none"/>
        <w:b w:val="false"/>
        <w:rFonts w:ascii="Times New Roman" w:hAnsi="Times New Roman" w:cs="Times New Roman"/>
      </w:r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2">
    <w:lvl w:ilvl="0">
      <w:start w:val="1"/>
      <w:numFmt w:val="decimal"/>
      <w:lvlText w:val="%1."/>
      <w:lvlJc w:val="start"/>
      <w:pPr>
        <w:tabs>
          <w:tab w:val="num" w:pos="1080"/>
        </w:tabs>
        <w:ind w:start="0" w:firstLine="720"/>
      </w:pPr>
    </w:lvl>
  </w:abstractNum>
  <w:abstractNum w:abstractNumId="3">
    <w:lvl w:ilvl="0">
      <w:start w:val="1"/>
      <w:isLgl/>
      <w:numFmt w:val="decimal"/>
      <w:lvlText w:val="%1."/>
      <w:lvlJc w:val="start"/>
      <w:pPr>
        <w:tabs>
          <w:tab w:val="num" w:pos="360"/>
        </w:tabs>
        <w:ind w:start="0" w:hanging="0"/>
      </w:pPr>
      <w:rPr>
        <w:sz w:val="24"/>
        <w:i w:val="false"/>
        <w:b w:val="false"/>
        <w:rFonts w:ascii="Times New Roman" w:hAnsi="Times New Roman" w:cs="Times New Roman"/>
      </w:rPr>
    </w:lvl>
    <w:lvl w:ilvl="1">
      <w:start w:val="1"/>
      <w:numFmt w:val="decimal"/>
      <w:lvlText w:val="%1.%2."/>
      <w:lvlJc w:val="start"/>
      <w:pPr>
        <w:tabs>
          <w:tab w:val="num" w:pos="1080"/>
        </w:tabs>
        <w:ind w:start="0" w:firstLine="720"/>
      </w:pPr>
    </w:lvl>
    <w:lvl w:ilvl="2">
      <w:start w:val="1"/>
      <w:isLgl/>
      <w:numFmt w:val="decimal"/>
      <w:lvlText w:val="%1.%2.%3."/>
      <w:lvlJc w:val="start"/>
      <w:pPr>
        <w:tabs>
          <w:tab w:val="num" w:pos="2160"/>
        </w:tabs>
        <w:ind w:start="0" w:firstLine="1440"/>
      </w:pPr>
    </w:lvl>
    <w:lvl w:ilvl="3">
      <w:start w:val="1"/>
      <w:numFmt w:val="lowerLetter"/>
      <w:lvlText w:val="(%4)"/>
      <w:lvlJc w:val="start"/>
      <w:pPr>
        <w:tabs>
          <w:tab w:val="num" w:pos="2520"/>
        </w:tabs>
        <w:ind w:start="1728" w:firstLine="432"/>
      </w:pPr>
    </w:lvl>
    <w:lvl w:ilvl="4">
      <w:start w:val="1"/>
      <w:numFmt w:val="decimal"/>
      <w:lvlText w:val="%1.%2.%3.%4.%5."/>
      <w:lvlJc w:val="start"/>
      <w:pPr>
        <w:tabs>
          <w:tab w:val="num" w:pos="2520"/>
        </w:tabs>
        <w:ind w:start="2232" w:hanging="792"/>
      </w:pPr>
    </w:lvl>
    <w:lvl w:ilvl="5">
      <w:start w:val="1"/>
      <w:numFmt w:val="decimal"/>
      <w:lvlText w:val="%1.%2.%3.%4.%5.%6."/>
      <w:lvlJc w:val="start"/>
      <w:pPr>
        <w:tabs>
          <w:tab w:val="num" w:pos="288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3960"/>
        </w:tabs>
        <w:ind w:start="3744" w:hanging="1224"/>
      </w:pPr>
    </w:lvl>
    <w:lvl w:ilvl="8">
      <w:start w:val="1"/>
      <w:numFmt w:val="decimal"/>
      <w:lvlText w:val="%1.%2.%3.%4.%5.%6.%7.%8.%9."/>
      <w:lvlJc w:val="start"/>
      <w:pPr>
        <w:tabs>
          <w:tab w:val="num" w:pos="4680"/>
        </w:tabs>
        <w:ind w:start="4320" w:hanging="1440"/>
      </w:pPr>
    </w:lvl>
  </w:abstractNum>
  <w:abstractNum w:abstractNumId="4">
    <w:lvl w:ilvl="0">
      <w:start w:val="1"/>
      <w:numFmt w:val="decimal"/>
      <w:lvlText w:val="%1."/>
      <w:lvlJc w:val="start"/>
      <w:pPr>
        <w:tabs>
          <w:tab w:val="num" w:pos="360"/>
        </w:tabs>
        <w:ind w:start="360" w:hanging="360"/>
      </w:pPr>
    </w:lvl>
  </w:abstractNum>
  <w:abstractNum w:abstractNumId="5">
    <w:lvl w:ilvl="0">
      <w:start w:val="1"/>
      <w:isLgl/>
      <w:numFmt w:val="upperRoman"/>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Zero"/>
      <w:lvlText w:val="%1.%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lowerRoman"/>
      <w:lvlText w:val="(%5)"/>
      <w:lvlJc w:val="start"/>
      <w:pPr>
        <w:tabs>
          <w:tab w:val="num" w:pos="216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2"/>
      <w:numFmt w:val="upperLetter"/>
      <w:lvlText w:val="(%6)"/>
      <w:lvlJc w:val="start"/>
      <w:pPr>
        <w:tabs>
          <w:tab w:val="num" w:pos="2520"/>
        </w:tabs>
        <w:ind w:start="72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6">
      <w:start w:val="1"/>
      <w:numFmt w:val="none"/>
      <w:suff w:val="nothing"/>
      <w:lvlText w:val=""/>
      <w:lvlJc w:val="start"/>
      <w:pPr>
        <w:tabs>
          <w:tab w:val="num" w:pos="0"/>
        </w:tabs>
        <w:ind w:start="0" w:hanging="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7">
      <w:start w:val="1"/>
      <w:numFmt w:val="decimal"/>
      <w:lvlText w:val="%8."/>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8">
      <w:start w:val="1"/>
      <w:numFmt w:val="decimal"/>
      <w:lvlText w:val="(%9)"/>
      <w:lvlJc w:val="start"/>
      <w:pPr>
        <w:tabs>
          <w:tab w:val="num" w:pos="3240"/>
        </w:tabs>
        <w:ind w:start="0" w:firstLine="288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abstractNum>
  <w:abstractNum w:abstractNumId="6">
    <w:lvl w:ilvl="0">
      <w:start w:val="1"/>
      <w:numFmt w:val="upperRoman"/>
      <w:suff w:val="nothing"/>
      <w:lvlText w:val="ARTICLE %1"/>
      <w:lvlJc w:val="center"/>
      <w:pPr>
        <w:tabs>
          <w:tab w:val="num" w:pos="0"/>
        </w:tabs>
        <w:ind w:start="0" w:firstLine="5040"/>
      </w:pPr>
      <w:rPr>
        <w:sz w:val="24"/>
        <w:i w:val="false"/>
        <w:b/>
        <w:rFonts w:ascii="Times New Roman" w:hAnsi="Times New Roman" w:cs="Times New Roman"/>
      </w:rPr>
    </w:lvl>
    <w:lvl w:ilvl="1">
      <w:start w:val="1"/>
      <w:isLgl/>
      <w:numFmt w:val="decimal"/>
      <w:lvlText w:val="Section %1.%2"/>
      <w:lvlJc w:val="start"/>
      <w:pPr>
        <w:tabs>
          <w:tab w:val="num" w:pos="1800"/>
        </w:tabs>
        <w:ind w:start="0" w:hanging="0"/>
      </w:pPr>
    </w:lvl>
    <w:lvl w:ilvl="2">
      <w:start w:val="1"/>
      <w:numFmt w:val="lowerLetter"/>
      <w:lvlText w:val="(%3)"/>
      <w:lvlJc w:val="start"/>
      <w:pPr>
        <w:tabs>
          <w:tab w:val="num" w:pos="1080"/>
        </w:tabs>
        <w:ind w:start="720" w:hanging="0"/>
      </w:pPr>
    </w:lvl>
    <w:lvl w:ilvl="3">
      <w:start w:val="1"/>
      <w:numFmt w:val="lowerRoman"/>
      <w:lvlText w:val="(%4)"/>
      <w:lvlJc w:val="start"/>
      <w:pPr>
        <w:tabs>
          <w:tab w:val="num" w:pos="2160"/>
        </w:tabs>
        <w:ind w:start="1440" w:hanging="0"/>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txtAuthor" w:val="WCF"/>
    <w:docVar w:name="txtFrom" w:val="William C. Frederking "/>
    <w:docVar w:name="txtInitials" w:val="jbp"/>
    <w:docVar w:name="txtRef" w:val="Conective Power Delivery New Jersey Third Party Supplier Agreement"/>
    <w:docVar w:name="txtTo" w:val="Jim Keller &#1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Times New Roman Bold" w:hAnsi="Times New Roman Bold" w:cs="Times New Roman Bold"/>
      <w:b/>
      <w:kern w:val="2"/>
    </w:rPr>
  </w:style>
  <w:style w:type="paragraph" w:styleId="Heading2">
    <w:name w:val="heading 2"/>
    <w:basedOn w:val="Normal"/>
    <w:next w:val="Normal"/>
    <w:qFormat/>
    <w:pPr>
      <w:tabs>
        <w:tab w:val="left" w:pos="720" w:leader="none"/>
        <w:tab w:val="left" w:pos="1440" w:leader="none"/>
      </w:tabs>
      <w:spacing w:before="0" w:after="240"/>
      <w:outlineLvl w:val="1"/>
    </w:pPr>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character" w:styleId="WW8Num2z0">
    <w:name w:val="WW8Num2z0"/>
    <w:qFormat/>
    <w:rPr>
      <w:b/>
      <w:i w:val="false"/>
      <w:caps/>
    </w:rPr>
  </w:style>
  <w:style w:type="character" w:styleId="WW8Num2z1">
    <w:name w:val="WW8Num2z1"/>
    <w:qFormat/>
    <w:rPr>
      <w:b/>
      <w:i w:val="false"/>
    </w:rPr>
  </w:style>
  <w:style w:type="character" w:styleId="WW8Num3z0">
    <w:name w:val="WW8Num3z0"/>
    <w:qFormat/>
    <w:rPr>
      <w:rFonts w:ascii="Times New Roman Bold" w:hAnsi="Times New Roman Bold" w:cs="Times New Roman Bold"/>
      <w:b/>
      <w:i w:val="false"/>
      <w:sz w:val="24"/>
      <w:u w:val="none"/>
    </w:rPr>
  </w:style>
  <w:style w:type="character" w:styleId="WW8Num3z1">
    <w:name w:val="WW8Num3z1"/>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rPr>
  </w:style>
  <w:style w:type="character" w:styleId="WW8Num8z0">
    <w:name w:val="WW8Num8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8z1">
    <w:name w:val="WW8Num8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8z8">
    <w:name w:val="WW8Num8z8"/>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0z0">
    <w:name w:val="WW8Num10z0"/>
    <w:qFormat/>
    <w:rPr>
      <w:rFonts w:ascii="Times New Roman" w:hAnsi="Times New Roman" w:cs="Times New Roman"/>
      <w:b/>
      <w:i w:val="false"/>
      <w:sz w:val="24"/>
    </w:rPr>
  </w:style>
  <w:style w:type="character" w:styleId="DefaultParagraphFont">
    <w:name w:val="Default Paragraph Font"/>
    <w:qFormat/>
    <w:rPr/>
  </w:style>
  <w:style w:type="character" w:styleId="Corporate2A">
    <w:name w:val="Corporate2A"/>
    <w:basedOn w:val="DefaultParagraphFont"/>
    <w:qFormat/>
    <w:rPr>
      <w:u w:val="single"/>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rFonts w:ascii="Times New Roman Bold" w:hAnsi="Times New Roman Bold" w:cs="Times New Roman Bold"/>
      <w:b/>
      <w:kern w:val="2"/>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rPr/>
  </w:style>
  <w:style w:type="paragraph" w:styleId="Corporate1">
    <w:name w:val="Corporate 1"/>
    <w:basedOn w:val="Normal"/>
    <w:next w:val="Corporate2"/>
    <w:qFormat/>
    <w:pPr>
      <w:numPr>
        <w:ilvl w:val="0"/>
        <w:numId w:val="6"/>
      </w:numPr>
      <w:spacing w:before="0" w:after="360"/>
      <w:jc w:val="center"/>
      <w:outlineLvl w:val="0"/>
    </w:pPr>
    <w:rPr>
      <w:b/>
      <w:caps/>
    </w:rPr>
  </w:style>
  <w:style w:type="paragraph" w:styleId="Corporate2">
    <w:name w:val="Corporate 2"/>
    <w:basedOn w:val="Normal"/>
    <w:next w:val="Normal"/>
    <w:qFormat/>
    <w:pPr>
      <w:numPr>
        <w:ilvl w:val="0"/>
        <w:numId w:val="6"/>
      </w:numPr>
      <w:tabs>
        <w:tab w:val="clear" w:pos="720"/>
        <w:tab w:val="left" w:pos="1440" w:leader="none"/>
      </w:tabs>
      <w:spacing w:before="0" w:after="240"/>
      <w:outlineLvl w:val="1"/>
    </w:pPr>
    <w:rPr/>
  </w:style>
  <w:style w:type="paragraph" w:styleId="Corporate3">
    <w:name w:val="Corporate 3"/>
    <w:basedOn w:val="Normal"/>
    <w:qFormat/>
    <w:pPr>
      <w:numPr>
        <w:ilvl w:val="0"/>
        <w:numId w:val="6"/>
      </w:numPr>
      <w:tabs>
        <w:tab w:val="left" w:pos="720" w:leader="none"/>
        <w:tab w:val="left" w:pos="1440" w:leader="none"/>
      </w:tabs>
      <w:spacing w:before="0" w:after="240"/>
    </w:pPr>
    <w:rPr/>
  </w:style>
  <w:style w:type="paragraph" w:styleId="Corporate4">
    <w:name w:val="Corporate 4"/>
    <w:basedOn w:val="Normal"/>
    <w:qFormat/>
    <w:pPr>
      <w:numPr>
        <w:ilvl w:val="0"/>
        <w:numId w:val="6"/>
      </w:numPr>
      <w:spacing w:before="0" w:after="240"/>
    </w:pPr>
    <w:rPr/>
  </w:style>
  <w:style w:type="paragraph" w:styleId="Corporate1A">
    <w:name w:val="Corporate1A"/>
    <w:basedOn w:val="Normal"/>
    <w:next w:val="Corporate2"/>
    <w:qFormat/>
    <w:pPr>
      <w:tabs>
        <w:tab w:val="clear" w:pos="720"/>
        <w:tab w:val="center" w:pos="4680" w:leader="none"/>
      </w:tabs>
      <w:spacing w:before="0" w:after="240"/>
      <w:jc w:val="center"/>
    </w:pPr>
    <w:rPr/>
  </w:style>
  <w:style w:type="paragraph" w:styleId="PlainText">
    <w:name w:val="Plain Text"/>
    <w:basedOn w:val="Normal"/>
    <w:qFormat/>
    <w:pPr/>
    <w:rPr>
      <w:rFonts w:ascii="Courier New" w:hAnsi="Courier New" w:cs="Courier New"/>
      <w:sz w:val="20"/>
    </w:rPr>
  </w:style>
  <w:style w:type="paragraph" w:styleId="Section1">
    <w:name w:val="Section 1"/>
    <w:basedOn w:val="PlainText"/>
    <w:qFormat/>
    <w:pPr>
      <w:numPr>
        <w:ilvl w:val="0"/>
        <w:numId w:val="3"/>
      </w:numPr>
      <w:spacing w:before="0" w:after="240"/>
      <w:outlineLvl w:val="0"/>
    </w:pPr>
    <w:rPr>
      <w:rFonts w:ascii="Times New Roman" w:hAnsi="Times New Roman" w:cs="Times New Roman"/>
      <w:sz w:val="24"/>
    </w:rPr>
  </w:style>
  <w:style w:type="paragraph" w:styleId="Section11">
    <w:name w:val="Section 1.1"/>
    <w:basedOn w:val="Normal"/>
    <w:qFormat/>
    <w:pPr>
      <w:numPr>
        <w:ilvl w:val="0"/>
        <w:numId w:val="3"/>
      </w:numPr>
      <w:spacing w:before="0" w:after="240"/>
    </w:pPr>
    <w:rPr/>
  </w:style>
  <w:style w:type="paragraph" w:styleId="Section111">
    <w:name w:val="Section 1.1.1"/>
    <w:basedOn w:val="Normal"/>
    <w:qFormat/>
    <w:pPr>
      <w:numPr>
        <w:ilvl w:val="0"/>
        <w:numId w:val="3"/>
      </w:numPr>
      <w:spacing w:before="0" w:after="240"/>
    </w:pPr>
    <w:rPr/>
  </w:style>
  <w:style w:type="paragraph" w:styleId="Run-In">
    <w:name w:val="Run-In"/>
    <w:basedOn w:val="Normal"/>
    <w:next w:val="BodyText"/>
    <w:qFormat/>
    <w:pPr>
      <w:spacing w:before="0" w:after="240"/>
    </w:pPr>
    <w:rPr/>
  </w:style>
  <w:style w:type="paragraph" w:styleId="NoTitleHeading2">
    <w:name w:val="NoTitleHeading2"/>
    <w:basedOn w:val="Heading2"/>
    <w:qFormat/>
    <w:pPr>
      <w:numPr>
        <w:ilvl w:val="0"/>
        <w:numId w:val="0"/>
      </w:numPr>
      <w:ind w:firstLine="720" w:start="0" w:end="0"/>
      <w:outlineLvl w:val="9"/>
    </w:pPr>
    <w:rPr/>
  </w:style>
  <w:style w:type="paragraph" w:styleId="HiddenPara">
    <w:name w:val="[HiddenPara]"/>
    <w:basedOn w:val="Normal"/>
    <w:next w:val="Normal"/>
    <w:qFormat/>
    <w:pPr>
      <w:widowControl w:val="false"/>
      <w:numPr>
        <w:ilvl w:val="0"/>
        <w:numId w:val="5"/>
      </w:numPr>
      <w:tabs>
        <w:tab w:val="left" w:pos="720" w:leader="none"/>
        <w:tab w:val="left" w:pos="1440" w:leader="none"/>
      </w:tabs>
      <w:spacing w:before="0" w:after="240"/>
    </w:pPr>
    <w:rPr>
      <w:vanish/>
      <w:color w:val="FF0000"/>
    </w:rPr>
  </w:style>
  <w:style w:type="paragraph" w:styleId="ListNumber">
    <w:name w:val="List Number"/>
    <w:basedOn w:val="Normal"/>
    <w:qFormat/>
    <w:pPr>
      <w:numPr>
        <w:ilvl w:val="0"/>
        <w:numId w:val="2"/>
      </w:numPr>
      <w:tabs>
        <w:tab w:val="left" w:pos="72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2001-05-09T16:25:00Z</dcterms:created>
  <dc:creator>Bracewell &amp; Patterson, L.L.P.</dc:creator>
  <dc:description/>
  <dc:language>en-CA</dc:language>
  <cp:lastModifiedBy>Will frederking</cp:lastModifiedBy>
  <cp:lastPrinted>2001-05-09T14:04:00Z</cp:lastPrinted>
  <dcterms:modified xsi:type="dcterms:W3CDTF">2001-05-09T16:36:00Z</dcterms:modified>
  <cp:revision>4</cp:revision>
  <dc:subject/>
  <dc:title>M E M O R A N D U M</dc:title>
</cp:coreProperties>
</file>