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Conectiv Energy Supply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shall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NEW YORK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CONECTIV ENERGY SUPPLY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/mnt/main-storage/datasets/enron-docs/doc/ConectivEnergy.doc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"Exhibit B."</w:t>
      </w:r>
    </w:p>
    <w:p>
      <w:pPr>
        <w:pStyle w:val="Normal"/>
        <w:ind w:start="360" w:end="0"/>
        <w:jc w:val="both"/>
        <w:rPr/>
      </w:pPr>
      <w:r>
        <w:rPr>
          <w:rFonts w:cs="Arial Narrow" w:ascii="Arial Narrow" w:hAnsi="Arial Narrow"/>
          <w:sz w:val="18"/>
        </w:rPr>
        <w:t>"</w:t>
      </w:r>
      <w:r>
        <w:rPr>
          <w:rFonts w:cs="Arial Narrow" w:ascii="Arial Narrow" w:hAnsi="Arial Narrow"/>
          <w:b/>
          <w:i/>
          <w:sz w:val="18"/>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Conectiv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  Enregy Supply Inc.  (overnight mail)</w:t>
      </w:r>
    </w:p>
    <w:p>
      <w:pPr>
        <w:pStyle w:val="Normal"/>
        <w:jc w:val="both"/>
        <w:rPr>
          <w:rFonts w:ascii="Arial Narrow" w:hAnsi="Arial Narrow" w:cs="Arial Narrow"/>
          <w:sz w:val="18"/>
        </w:rPr>
      </w:pPr>
      <w:r>
        <w:rPr>
          <w:rFonts w:cs="Arial Narrow" w:ascii="Arial Narrow" w:hAnsi="Arial Narrow"/>
          <w:sz w:val="18"/>
        </w:rPr>
        <w:t>252 Chapman Road</w:t>
      </w:r>
    </w:p>
    <w:p>
      <w:pPr>
        <w:pStyle w:val="Normal"/>
        <w:jc w:val="both"/>
        <w:rPr>
          <w:rFonts w:ascii="Arial Narrow" w:hAnsi="Arial Narrow" w:cs="Arial Narrow"/>
          <w:sz w:val="18"/>
        </w:rPr>
      </w:pPr>
      <w:r>
        <w:rPr>
          <w:rFonts w:cs="Arial Narrow" w:ascii="Arial Narrow" w:hAnsi="Arial Narrow"/>
          <w:sz w:val="18"/>
        </w:rPr>
        <w:t>University Office Plaza</w:t>
      </w:r>
    </w:p>
    <w:p>
      <w:pPr>
        <w:pStyle w:val="Normal"/>
        <w:jc w:val="both"/>
        <w:rPr>
          <w:rFonts w:ascii="Arial Narrow" w:hAnsi="Arial Narrow" w:cs="Arial Narrow"/>
          <w:sz w:val="18"/>
        </w:rPr>
      </w:pPr>
      <w:r>
        <w:rPr>
          <w:rFonts w:cs="Arial Narrow" w:ascii="Arial Narrow" w:hAnsi="Arial Narrow"/>
          <w:sz w:val="18"/>
        </w:rPr>
        <w:t>Christiana Building</w:t>
      </w:r>
    </w:p>
    <w:p>
      <w:pPr>
        <w:pStyle w:val="Normal"/>
        <w:jc w:val="both"/>
        <w:rPr>
          <w:rFonts w:ascii="Arial Narrow" w:hAnsi="Arial Narrow" w:cs="Arial Narrow"/>
          <w:sz w:val="18"/>
        </w:rPr>
      </w:pPr>
      <w:r>
        <w:rPr>
          <w:rFonts w:cs="Arial Narrow" w:ascii="Arial Narrow" w:hAnsi="Arial Narrow"/>
          <w:sz w:val="18"/>
        </w:rPr>
        <w:t>Newark, Delaware  19702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Conective Energy Supply, Inc.  (regular mail service)</w:t>
      </w:r>
    </w:p>
    <w:p>
      <w:pPr>
        <w:pStyle w:val="Normal"/>
        <w:jc w:val="both"/>
        <w:rPr>
          <w:rFonts w:ascii="Arial Narrow" w:hAnsi="Arial Narrow" w:cs="Arial Narrow"/>
          <w:sz w:val="18"/>
        </w:rPr>
      </w:pPr>
      <w:r>
        <w:rPr>
          <w:rFonts w:cs="Arial Narrow" w:ascii="Arial Narrow" w:hAnsi="Arial Narrow"/>
          <w:sz w:val="18"/>
        </w:rPr>
        <w:t>P. O. Box 6066</w:t>
      </w:r>
    </w:p>
    <w:p>
      <w:pPr>
        <w:pStyle w:val="Normal"/>
        <w:jc w:val="both"/>
        <w:rPr>
          <w:rFonts w:ascii="Arial Narrow" w:hAnsi="Arial Narrow" w:cs="Arial Narrow"/>
          <w:sz w:val="18"/>
        </w:rPr>
      </w:pPr>
      <w:r>
        <w:rPr>
          <w:rFonts w:cs="Arial Narrow" w:ascii="Arial Narrow" w:hAnsi="Arial Narrow"/>
          <w:sz w:val="18"/>
        </w:rPr>
        <w:t>Newark, DE 19714-6066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Conective Energy Supply, Inc.  (regular mail service)</w:t>
      </w:r>
    </w:p>
    <w:p>
      <w:pPr>
        <w:pStyle w:val="Normal"/>
        <w:jc w:val="both"/>
        <w:rPr>
          <w:rFonts w:ascii="Arial Narrow" w:hAnsi="Arial Narrow" w:cs="Arial Narrow"/>
          <w:sz w:val="18"/>
        </w:rPr>
      </w:pPr>
      <w:r>
        <w:rPr>
          <w:rFonts w:cs="Arial Narrow" w:ascii="Arial Narrow" w:hAnsi="Arial Narrow"/>
          <w:sz w:val="18"/>
        </w:rPr>
        <w:t>Attention: Accounting, Energy Trading</w:t>
      </w:r>
    </w:p>
    <w:p>
      <w:pPr>
        <w:pStyle w:val="Normal"/>
        <w:jc w:val="both"/>
        <w:rPr>
          <w:rFonts w:ascii="Arial Narrow" w:hAnsi="Arial Narrow" w:cs="Arial Narrow"/>
          <w:sz w:val="18"/>
        </w:rPr>
      </w:pPr>
      <w:r>
        <w:rPr>
          <w:rFonts w:cs="Arial Narrow" w:ascii="Arial Narrow" w:hAnsi="Arial Narrow"/>
          <w:sz w:val="18"/>
        </w:rPr>
        <w:t>P. O. Box 6066</w:t>
      </w:r>
    </w:p>
    <w:p>
      <w:pPr>
        <w:pStyle w:val="Normal"/>
        <w:jc w:val="both"/>
        <w:rPr>
          <w:rFonts w:ascii="Arial Narrow" w:hAnsi="Arial Narrow" w:cs="Arial Narrow"/>
          <w:sz w:val="18"/>
        </w:rPr>
      </w:pPr>
      <w:r>
        <w:rPr>
          <w:rFonts w:cs="Arial Narrow" w:ascii="Arial Narrow" w:hAnsi="Arial Narrow"/>
          <w:sz w:val="18"/>
        </w:rPr>
        <w:t>Newark, DE 19714-6066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 xml:space="preserve">AllFirst Bank </w:t>
      </w:r>
    </w:p>
    <w:p>
      <w:pPr>
        <w:pStyle w:val="Normal"/>
        <w:jc w:val="both"/>
        <w:rPr>
          <w:rFonts w:ascii="Arial Narrow" w:hAnsi="Arial Narrow" w:cs="Arial Narrow"/>
          <w:sz w:val="18"/>
        </w:rPr>
      </w:pPr>
      <w:r>
        <w:rPr>
          <w:rFonts w:cs="Arial Narrow" w:ascii="Arial Narrow" w:hAnsi="Arial Narrow"/>
          <w:sz w:val="18"/>
        </w:rPr>
        <w:t>Bailtimore, MD</w:t>
      </w:r>
    </w:p>
    <w:p>
      <w:pPr>
        <w:pStyle w:val="Normal"/>
        <w:jc w:val="both"/>
        <w:rPr>
          <w:rFonts w:ascii="Arial Narrow" w:hAnsi="Arial Narrow" w:cs="Arial Narrow"/>
          <w:sz w:val="18"/>
        </w:rPr>
      </w:pPr>
      <w:r>
        <w:rPr>
          <w:rFonts w:cs="Arial Narrow" w:ascii="Arial Narrow" w:hAnsi="Arial Narrow"/>
          <w:sz w:val="18"/>
        </w:rPr>
        <w:t>ABA # 052-000-113    Acct # 895-7367-2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Phone:  302-452-6205                Fax: 302-452-6364</w:t>
      </w:r>
    </w:p>
    <w:p>
      <w:pPr>
        <w:pStyle w:val="Normal"/>
        <w:jc w:val="both"/>
        <w:rPr>
          <w:rFonts w:ascii="Arial Narrow" w:hAnsi="Arial Narrow" w:cs="Arial Narrow"/>
          <w:sz w:val="18"/>
        </w:rPr>
      </w:pPr>
      <w:r>
        <w:rPr>
          <w:rFonts w:cs="Arial Narrow" w:ascii="Arial Narrow" w:hAnsi="Arial Narrow"/>
          <w:b/>
          <w:sz w:val="18"/>
        </w:rPr>
        <w:t>Confirmations:</w:t>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1999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Conective Energy Supply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Connectiv Energy Supply, Inc.</w:t>
      </w:r>
    </w:p>
    <w:p>
      <w:pPr>
        <w:pStyle w:val="Normal"/>
        <w:jc w:val="both"/>
        <w:rPr>
          <w:rFonts w:ascii="Arial Narrow" w:hAnsi="Arial Narrow" w:cs="Arial Narrow"/>
          <w:sz w:val="18"/>
        </w:rPr>
      </w:pPr>
      <w:r>
        <w:rPr>
          <w:rFonts w:cs="Arial Narrow" w:ascii="Arial Narrow" w:hAnsi="Arial Narrow"/>
          <w:sz w:val="18"/>
        </w:rPr>
        <w:t>P. O. Box 6066________________</w:t>
      </w:r>
    </w:p>
    <w:p>
      <w:pPr>
        <w:pStyle w:val="Normal"/>
        <w:jc w:val="both"/>
        <w:rPr>
          <w:rFonts w:ascii="Arial Narrow" w:hAnsi="Arial Narrow" w:cs="Arial Narrow"/>
          <w:sz w:val="18"/>
        </w:rPr>
      </w:pPr>
      <w:r>
        <w:rPr>
          <w:rFonts w:cs="Arial Narrow" w:ascii="Arial Narrow" w:hAnsi="Arial Narrow"/>
          <w:sz w:val="18"/>
        </w:rPr>
        <w:t>Newark, DE 19714-6066________________</w:t>
      </w:r>
    </w:p>
    <w:p>
      <w:pPr>
        <w:pStyle w:val="Normal"/>
        <w:jc w:val="both"/>
        <w:rPr>
          <w:rFonts w:ascii="Arial Narrow" w:hAnsi="Arial Narrow" w:cs="Arial Narrow"/>
          <w:sz w:val="18"/>
        </w:rPr>
      </w:pPr>
      <w:r>
        <w:rPr>
          <w:rFonts w:cs="Arial Narrow" w:ascii="Arial Narrow" w:hAnsi="Arial Narrow"/>
          <w:sz w:val="18"/>
        </w:rPr>
        <w:t>Facsimile:  (302) 452-6364_______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CONECTIV ENERGY SUPPLY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Heading"/>
        <w:rPr>
          <w:rFonts w:ascii="Arial Narrow" w:hAnsi="Arial Narrow" w:cs="Arial Narrow"/>
          <w:sz w:val="18"/>
        </w:rPr>
      </w:pPr>
      <w:r>
        <w:rPr>
          <w:rFonts w:cs="Arial Narrow" w:ascii="Arial Narrow" w:hAnsi="Arial Narrow"/>
          <w:sz w:val="18"/>
        </w:rPr>
        <w:t>EXHIBIT “D”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sz w:val="18"/>
          <w:u w:val="single"/>
        </w:rPr>
      </w:pPr>
      <w:r>
        <w:rPr>
          <w:rFonts w:cs="Arial Narrow" w:ascii="Arial Narrow" w:hAnsi="Arial Narrow"/>
          <w:sz w:val="18"/>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shadow/>
          <w:sz w:val="18"/>
        </w:rPr>
      </w:pPr>
      <w:r>
        <w:rPr>
          <w:rFonts w:cs="Arial Narrow" w:ascii="Arial Narrow" w:hAnsi="Arial Narrow"/>
          <w:sz w:val="18"/>
          <w:u w:val="single"/>
        </w:rPr>
        <w:t>SUPERCEDING GUARANTY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This Guaranty, dated as of ________, 2000 (the “Effective Date”) by Conectiv, a Delaware corporation (the "Guarantor"), in favor of Enron Corp, or its subsidiaries, affiliates, and divisions thereof, including but not limited to Enron North America Corp., Enron Liquid Fuels, Inc. and Enron Power Marketing, Inc. (individually or collectively referred to herein as "Beneficiary").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w:t>
        <w:tab/>
      </w:r>
      <w:r>
        <w:rPr>
          <w:rFonts w:cs="Arial Narrow" w:ascii="Arial Narrow" w:hAnsi="Arial Narrow"/>
          <w:sz w:val="18"/>
          <w:u w:val="single"/>
        </w:rPr>
        <w:t>Guaranty</w:t>
      </w:r>
      <w:r>
        <w:rPr>
          <w:rFonts w:cs="Arial Narrow" w:ascii="Arial Narrow" w:hAnsi="Arial Narrow"/>
          <w:sz w:val="18"/>
        </w:rPr>
        <w:t>.  In consideration of the Beneficiary having entered into, or entering into contracts and agreements for the sale, purchase, exchange, transportation, commodity price swaps, commodity options or other similar transactions with respect to crude oil, natural gas, electric power, petroleum products, emission allowances, or other energy commodities by and between Conectiv Energy Supply, Inc., an affiliate of the Guarantor, and the Beneficiary (collectively the "Guaranteed Contracts"), the Guarantor irrevocably and unconditionally guarantees to Beneficiary, its successors and assigns, the prompt payment when due, subject to any applicable grace period, of all of Conectiv Energy Supply, Inc.’s present and future obligations and liabilities of all kinds to Beneficiary arising out of the Guaranteed Contracts, (the "Obligations").  Guarantor’s liability under this Guaranty and the Beneficiary’s right to recover under same shall be limited to an aggregate amount of $20,000,000.00</w:t>
      </w:r>
      <w:r>
        <w:rPr>
          <w:rStyle w:val="CommentReference"/>
          <w:rFonts w:cs="Arial Narrow" w:ascii="Arial Narrow" w:hAnsi="Arial Narrow"/>
          <w:vanish w:val="false"/>
          <w:sz w:val="18"/>
        </w:rPr>
        <w:commentReference w:id="0"/>
      </w:r>
      <w:r>
        <w:rPr>
          <w:rFonts w:cs="Arial Narrow" w:ascii="Arial Narrow" w:hAnsi="Arial Narrow"/>
          <w:sz w:val="18"/>
        </w:rPr>
        <w:t>.  Guarantor acknowledges that it will benefit directly or indirectly from the transactions to be entered into between the Beneficiary and Conectiv Energy Supply, Inc.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2.</w:t>
        <w:tab/>
      </w:r>
      <w:r>
        <w:rPr>
          <w:rFonts w:cs="Arial Narrow" w:ascii="Arial Narrow" w:hAnsi="Arial Narrow"/>
          <w:sz w:val="18"/>
          <w:u w:val="single"/>
        </w:rPr>
        <w:t>Nature of Guaranty</w:t>
      </w:r>
      <w:r>
        <w:rPr>
          <w:rFonts w:cs="Arial Narrow" w:ascii="Arial Narrow" w:hAnsi="Arial Narrow"/>
          <w:sz w:val="18"/>
        </w:rPr>
        <w:t>.    This Guaranty constitutes a guarantee of payment when due and not of collection.  In the event that any payment of Conectiv Energy Supply, Inc. in respect of any Obligations is rescinded or recovered from Beneficiary as a preference or fraudulent transfer under the Federal Bankruptcy Code, or any applicable state law, the Guarantor shall remain liable hereunder with respect to such Obligations as if such payment had not been made.  This Guaranty shall continue to be effective if Conectiv Energy Supply, Inc. merges or consolidates with or into another entity, loses its separate legal identity or ceases to exist.  GUARANTOR SHALL NOT BE REQUIRED TO PAY SPECIAL, EXEMPLARY, PUNITIVE, INCIDENTAL, CONSEQUENTIAL OR INDIRECT DAMAGES (WHETHER OR NOT ARISING FROM A PARTY'S NEGLIGENCE) TO BENEFICIARY, EXCEPT TO THE EXTENT THAT THE PAYMENTS REQUIRED TO BE MADE PURSUANT TO THE OBLIGATIONS UNDER THE GUARANTEED CONTRACTS ARE DEEMED TO BE SUCH DAMAGES.  IF AND TO THE EXTENT ANY PAYMENT MADE PURSUANT TO THE OBLIGATIONS UNDER THE GUARANTEED CONTRACTS IS DEEMED TO CONSTITUTE LIQUIDATED DAMAGES, THE PARTIES ACKNOWLEDGE AND AGREE THAT DAMAGES ARE DIFFICULT OR IMPOSSIBLE TO DETERMINE AND THAT SUCH PAYMENT CONSTITUTES A REASONABLE APPROXIMATION OF THE AMOUNT OF SUCH DAMAGES, AND NOT A PENALTY.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3.</w:t>
        <w:tab/>
      </w:r>
      <w:r>
        <w:rPr>
          <w:rFonts w:cs="Arial Narrow" w:ascii="Arial Narrow" w:hAnsi="Arial Narrow"/>
          <w:sz w:val="18"/>
          <w:u w:val="single"/>
        </w:rPr>
        <w:t>Consents, Waivers and Renewals</w:t>
      </w:r>
      <w:r>
        <w:rPr>
          <w:rFonts w:cs="Arial Narrow" w:ascii="Arial Narrow" w:hAnsi="Arial Narrow"/>
          <w:sz w:val="18"/>
        </w:rPr>
        <w:t>.   Guarantor agrees that Beneficiary may, at any time and from time to time, without notice to or consent of the Guarantor and without impairing or releasing the obligations of the Guarantor hereunder: (1) make any change in the terms of any Obligation or liability of Conectiv Energy Supply, Inc. to Beneficiary, (2) take or fail to take any action of any kind in respect of any security for any Obligation or liability of Conectiv Energy Supply, Inc. to Beneficiary, (3) exercise or refrain from exercising any rights against Conectiv Energy Supply, Inc. or others, or (4) compromise or subordinate any Obligation or liability of Conectiv Energy Supply, Inc. to Beneficiary including any security therefore.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4.</w:t>
        <w:tab/>
      </w:r>
      <w:r>
        <w:rPr>
          <w:rFonts w:cs="Arial Narrow" w:ascii="Arial Narrow" w:hAnsi="Arial Narrow"/>
          <w:sz w:val="18"/>
          <w:u w:val="single"/>
        </w:rPr>
        <w:t>Expenses</w:t>
      </w:r>
      <w:r>
        <w:rPr>
          <w:rFonts w:cs="Arial Narrow" w:ascii="Arial Narrow" w:hAnsi="Arial Narrow"/>
          <w:sz w:val="18"/>
        </w:rPr>
        <w:t>.  The Guarantor agrees to pay on demand all out-of-pocket expenses (including the reasonable fees and expenses of Beneficiary's counsel) in any way relating to the enforcement or protection of the rights of Beneficiary hereunder; provided, that the Guarantor shall not be liable for any expenses of Beneficiary if no payment under this Guaranty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5.</w:t>
        <w:tab/>
      </w:r>
      <w:r>
        <w:rPr>
          <w:rFonts w:cs="Arial Narrow" w:ascii="Arial Narrow" w:hAnsi="Arial Narrow"/>
          <w:sz w:val="18"/>
          <w:u w:val="single"/>
        </w:rPr>
        <w:t>Subrogation</w:t>
      </w:r>
      <w:r>
        <w:rPr>
          <w:rFonts w:cs="Arial Narrow" w:ascii="Arial Narrow" w:hAnsi="Arial Narrow"/>
          <w:sz w:val="18"/>
        </w:rPr>
        <w:t>.  The Guarantor will not exercise any rights, which it may acquire by way of subrogation until all the Obligations to Beneficiary shall have been paid in full.  Subject to the foregoing, upon payment of all the Obligations, the Guarantor shall be subrogated to the rights of Beneficiary against Conectiv Energy Supply, Inc., and Beneficiary agrees to take such steps as the Guarantor may reasonably request, at the Guarantor's expense, to implement such subrogation.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6.</w:t>
        <w:tab/>
      </w:r>
      <w:r>
        <w:rPr>
          <w:rFonts w:cs="Arial Narrow" w:ascii="Arial Narrow" w:hAnsi="Arial Narrow"/>
          <w:sz w:val="18"/>
          <w:u w:val="single"/>
        </w:rPr>
        <w:t>Setoffs and Counterclaims</w:t>
      </w:r>
      <w:r>
        <w:rPr>
          <w:rFonts w:cs="Arial Narrow" w:ascii="Arial Narrow" w:hAnsi="Arial Narrow"/>
          <w:sz w:val="18"/>
        </w:rPr>
        <w:t>.  Guarantor reserves to itself all rights, counterclaims and other defenses which Conectiv Energy Supply, Inc. is or may be entitled to arising from or out of the Guaranteed Contracts, except for defenses arising out of the bankruptcy, insolvency, dissolution or liquidation of Conectiv Energy Supply, Inc., the power or authority of Conectiv Energy Supply, Inc. to enter into the Guaranteed Contracts, and to perform its Obligations thereunder, and the lack of validity or enforceability of Conectiv Energy Supply, Inc.’s Obligations under the Guaranteed Contracts or any transaction thereunder.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7.</w:t>
        <w:tab/>
      </w:r>
      <w:r>
        <w:rPr>
          <w:rFonts w:cs="Arial Narrow" w:ascii="Arial Narrow" w:hAnsi="Arial Narrow"/>
          <w:sz w:val="18"/>
          <w:u w:val="single"/>
        </w:rPr>
        <w:t>No Waiver; Cumulative Rights</w:t>
      </w:r>
      <w:r>
        <w:rPr>
          <w:rFonts w:cs="Arial Narrow" w:ascii="Arial Narrow" w:hAnsi="Arial Narrow"/>
          <w:sz w:val="18"/>
        </w:rPr>
        <w:t>.  No failure or delay on the part of Beneficiary to exercise, and no delay in exercising, any right, remedy or power hereunder shall operate as a waiver thereof, nor shall any single or partial exercise by Beneficiary of any right, remedy or power hereunder preclude any other or future exercise of any right, remedy or power.  Each and every right, remedy and power hereby granted to Beneficiary or allowed it by law or other agreement shall be cumulative and not exclusive of any other, and may be exercised by Beneficiary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8.</w:t>
        <w:tab/>
      </w:r>
      <w:r>
        <w:rPr>
          <w:rFonts w:cs="Arial Narrow" w:ascii="Arial Narrow" w:hAnsi="Arial Narrow"/>
          <w:sz w:val="18"/>
          <w:u w:val="single"/>
        </w:rPr>
        <w:t>Waiver of Notice</w:t>
      </w:r>
      <w:r>
        <w:rPr>
          <w:rFonts w:cs="Arial Narrow" w:ascii="Arial Narrow" w:hAnsi="Arial Narrow"/>
          <w:sz w:val="18"/>
        </w:rPr>
        <w:t>.  The Guarantor waives notice of the acceptance of this Guaranty presentment, demand, notice of dishonor, protest, notice of any sale of collateral security and all other notices whatsoever.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9.</w:t>
        <w:tab/>
      </w:r>
      <w:r>
        <w:rPr>
          <w:rFonts w:cs="Arial Narrow" w:ascii="Arial Narrow" w:hAnsi="Arial Narrow"/>
          <w:sz w:val="18"/>
          <w:u w:val="single"/>
        </w:rPr>
        <w:t>Representation and Warranties</w:t>
      </w:r>
      <w:r>
        <w:rPr>
          <w:rFonts w:cs="Arial Narrow" w:ascii="Arial Narrow" w:hAnsi="Arial Narrow"/>
          <w:sz w:val="18"/>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(a)</w:t>
        <w:tab/>
        <w:t>The Guarantor is duly organized, validly existing and in good standing under the laws of the jurisdiction of its incorporation and has full corporate power to execute, deliver and perform this Guaranty.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(b)</w:t>
        <w:tab/>
        <w:t>The execution, delivery and performance of this Guaranty have been and remain duly authorized by all necessary corporate action and do not contravene any provision of law or of the Guarantor's constitutional documents or any contractual restriction binding on the Guarantor or its assets.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z w:val="18"/>
        </w:rPr>
      </w:pPr>
      <w:r>
        <w:rPr>
          <w:rFonts w:cs="Arial Narrow" w:ascii="Arial Narrow" w:hAnsi="Arial Narrow"/>
          <w:sz w:val="18"/>
        </w:rPr>
        <w:t>(c)</w:t>
        <w:tab/>
        <w:t xml:space="preserve">This Guaranty constitutes the legal, valid and binding obligation of the Guarantor enforceable against the Guarantor in accordance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with its terms, subject to bankruptcy, insolvency, reorganization and other laws of general applicability relating to or affecting creditors' rights and to general equity principles.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10.</w:t>
        <w:tab/>
      </w:r>
      <w:r>
        <w:rPr>
          <w:rFonts w:cs="Arial Narrow" w:ascii="Arial Narrow" w:hAnsi="Arial Narrow"/>
          <w:sz w:val="18"/>
          <w:u w:val="single"/>
        </w:rPr>
        <w:t>Assignment</w:t>
      </w:r>
      <w:r>
        <w:rPr>
          <w:rFonts w:cs="Arial Narrow" w:ascii="Arial Narrow" w:hAnsi="Arial Narrow"/>
          <w:sz w:val="18"/>
        </w:rPr>
        <w:t>.  The Guarantor shall not assign its rights, interest or obligations hereunder to any other person without the prior written consent of the Beneficiary and any purported assignment absent such consent is void.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11.</w:t>
        <w:tab/>
      </w:r>
      <w:r>
        <w:rPr>
          <w:rFonts w:cs="Arial Narrow" w:ascii="Arial Narrow" w:hAnsi="Arial Narrow"/>
          <w:sz w:val="18"/>
          <w:u w:val="single"/>
        </w:rPr>
        <w:t>Notices</w:t>
      </w:r>
      <w:r>
        <w:rPr>
          <w:rFonts w:cs="Arial Narrow" w:ascii="Arial Narrow" w:hAnsi="Arial Narrow"/>
          <w:sz w:val="18"/>
        </w:rPr>
        <w:t>.  All notices or other communications to the Guarantor shall be in writing and shall be given in the same manner and with the same effect as set forth in the Guaranteed Contracts.  The Guarantor's address for notices is as follows: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 xml:space="preserve">Conectiv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800 King Street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P.O. Box 231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Wilmington, DE 19899-0231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Attn: Legal Department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Facsimile No.: (302) 429-3801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z w:val="18"/>
        </w:rPr>
        <w:t>The Beneficiary’s address for notices is as follows:</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ab/>
        <w:t>Enron  Corp.</w:t>
      </w:r>
    </w:p>
    <w:p>
      <w:pPr>
        <w:pStyle w:val="Normal"/>
        <w:ind w:firstLine="720" w:start="1440" w:end="0"/>
        <w:rPr>
          <w:rFonts w:ascii="Arial Narrow" w:hAnsi="Arial Narrow" w:cs="Arial Narrow"/>
          <w:shadow/>
          <w:sz w:val="18"/>
        </w:rPr>
      </w:pPr>
      <w:r>
        <w:rPr>
          <w:rFonts w:cs="Arial Narrow" w:ascii="Arial Narrow" w:hAnsi="Arial Narrow"/>
          <w:sz w:val="18"/>
        </w:rPr>
        <w:t>1400 Smith Street</w:t>
      </w:r>
    </w:p>
    <w:p>
      <w:pPr>
        <w:pStyle w:val="Normal"/>
        <w:ind w:firstLine="720" w:start="1440" w:end="0"/>
        <w:rPr>
          <w:rFonts w:ascii="Arial Narrow" w:hAnsi="Arial Narrow" w:cs="Arial Narrow"/>
          <w:shadow/>
          <w:sz w:val="18"/>
        </w:rPr>
      </w:pPr>
      <w:r>
        <w:rPr>
          <w:rFonts w:cs="Arial Narrow" w:ascii="Arial Narrow" w:hAnsi="Arial Narrow"/>
          <w:sz w:val="18"/>
        </w:rPr>
        <w:t>Houston, Texas 77002</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z w:val="18"/>
        </w:rPr>
      </w:pPr>
      <w:r>
        <w:rPr>
          <w:rFonts w:cs="Arial Narrow" w:ascii="Arial Narrow" w:hAnsi="Arial Narrow"/>
          <w:sz w:val="18"/>
        </w:rPr>
        <w:tab/>
        <w:t>Attn:  Cathy Tudon (EB 2863A)</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 xml:space="preserve">Any notice sent to the Beneficiary shall also be sent to: </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Enron North America Corp.</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 xml:space="preserve">1400 Smith St. </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Houston, Texas  77002</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Attn: Director, Documentation Department</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Fax No.: 713-646-4816</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 xml:space="preserve">and </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Enron Power Marketing, Inc.</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P.O. Box 4428</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Houston, Texas  77210-4428</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Attn: Power Contract Documentation</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Fax No: 713-646-2443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z w:val="18"/>
        </w:rPr>
        <w:t>or such other address as either the Guarantor or Beneficiary shall from time to time specify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12.</w:t>
        <w:tab/>
      </w:r>
      <w:r>
        <w:rPr>
          <w:rFonts w:cs="Arial Narrow" w:ascii="Arial Narrow" w:hAnsi="Arial Narrow"/>
          <w:sz w:val="18"/>
          <w:u w:val="single"/>
        </w:rPr>
        <w:t>Termination</w:t>
      </w:r>
      <w:r>
        <w:rPr>
          <w:rFonts w:cs="Arial Narrow" w:ascii="Arial Narrow" w:hAnsi="Arial Narrow"/>
          <w:sz w:val="18"/>
        </w:rPr>
        <w:t xml:space="preserve">.  This is a continuing Guaranty of all present and future Obligations of Conectiv Energy Supply, Inc. to the Beneficiary. This Guaranty shall terminate the earlier to occur of December 31, 2001 or at any time upon written notice to Beneficiary, which termination shall become effective on the eleventh (11th) day after the date of receipt by the Beneficiary of such notice.  Notwithstanding the foregoing, this Guaranty shall continue to apply to all Obligations of Conectiv Energy Supply, Inc. to the Beneficiary pursuant to the Guaranteed Contracts entered into before the effective date of termination.  </w:t>
      </w:r>
    </w:p>
    <w:p>
      <w:pPr>
        <w:pStyle w:val="Normal"/>
        <w:widowControl w:val="false"/>
        <w:numPr>
          <w:ilvl w:val="0"/>
          <w:numId w:val="1"/>
        </w:numPr>
        <w:tabs>
          <w:tab w:val="left" w:pos="36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u w:val="single"/>
        </w:rPr>
        <w:t>GOVERNING LAW</w:t>
      </w:r>
      <w:r>
        <w:rPr>
          <w:rFonts w:cs="Arial Narrow" w:ascii="Arial Narrow" w:hAnsi="Arial Narrow"/>
          <w:sz w:val="18"/>
        </w:rPr>
        <w:t xml:space="preserve">.  THIS GUARANTY SHALL BE GOVERNED BY AND CONSTRUED IN ACCORDANCE WITH THE LAWS OF THE STATE OF NEW YORK WITHOUT REFERENCE TO CHOICE OF LAW DOCTRINE. </w:t>
      </w:r>
    </w:p>
    <w:p>
      <w:pPr>
        <w:pStyle w:val="Normal"/>
        <w:widowControl w:val="false"/>
        <w:numPr>
          <w:ilvl w:val="0"/>
          <w:numId w:val="1"/>
        </w:numPr>
        <w:tabs>
          <w:tab w:val="left" w:pos="36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bCs/>
          <w:sz w:val="18"/>
          <w:u w:val="single"/>
        </w:rPr>
        <w:t>Termination of Existing Guaranty.</w:t>
      </w:r>
      <w:r>
        <w:rPr>
          <w:rFonts w:cs="Arial Narrow" w:ascii="Arial Narrow" w:hAnsi="Arial Narrow"/>
          <w:bCs/>
          <w:sz w:val="18"/>
        </w:rPr>
        <w:t xml:space="preserve">  As of the Effective Date of this Guaranty (“Superceding Guaranty”) executed, issued and delivered to Enron Corp, for the benefit of Enron Corp. its subsidiaries, affiliates, and divisions thereof, including but not limited to Enron North America Corp., Enron Liquid Fuels, Inc. and Enron Power Marketing, Inc. by Conectiv, Enron Corp. for itself and on behalf of its subsidiaries, affiliates, and divisions, including but not limited to Enron North America Corp. and Enron Liquid Fuels, Inc. agrees that the guaranty dated January 24, 2000 issued by Conectiv to Enron Corp, its subsidiaries, affiliates, and divisions thereof, including but not limited to Enron North America Corp. and Enron Liquid Fuels, Inc.  (the “Existing Guaranty”) is terminated. The parties hereto agree that the Existing Guaranty shall terminate on the Effective Date of this Superceding Guaranty, nothwithstanding the provisions in Section 12 of the Existing Guaranty that provides that the temination of such guaranty shall occur on the eleventh (11</w:t>
      </w:r>
      <w:r>
        <w:rPr>
          <w:rFonts w:cs="Arial Narrow" w:ascii="Arial Narrow" w:hAnsi="Arial Narrow"/>
          <w:bCs/>
          <w:sz w:val="18"/>
          <w:vertAlign w:val="superscript"/>
        </w:rPr>
        <w:t>th</w:t>
      </w:r>
      <w:r>
        <w:rPr>
          <w:rFonts w:cs="Arial Narrow" w:ascii="Arial Narrow" w:hAnsi="Arial Narrow"/>
          <w:bCs/>
          <w:sz w:val="18"/>
        </w:rPr>
        <w:t>) day after the date of receipt of notice of termination of the Existing Guaranty and the Beneficiaries under the Existing Guaranty waive further notice of termination of the Existing Guaranty; provided however, that the obligations of Guarantor under the Existing Guaranty shall continue to apply to all obligations of Conectiv Energy Supply, Inc. to the named Beneficiaries thereof pursuant to Guaranteed Contracts entered into before termination of the Existing Guaranty.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IN WITNESS WHEREOF, the Guarantor has caused its duly authorized officer to execute and deliver this Guaranty as of the date first above written.  The Guaranty becomes effective as of the Effective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u w:val="single"/>
        </w:rPr>
      </w:pPr>
      <w:r>
        <w:rPr>
          <w:rFonts w:cs="Arial Narrow" w:ascii="Arial Narrow" w:hAnsi="Arial Narrow"/>
          <w:sz w:val="18"/>
        </w:rPr>
        <w:t>By:</w:t>
        <w:tab/>
      </w:r>
      <w:r>
        <w:rPr>
          <w:rFonts w:cs="Arial Narrow" w:ascii="Arial Narrow" w:hAnsi="Arial Narrow"/>
          <w:sz w:val="18"/>
          <w:u w:val="single"/>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u w:val="single"/>
        </w:rPr>
      </w:pPr>
      <w:r>
        <w:rPr>
          <w:rFonts w:cs="Arial Narrow" w:ascii="Arial Narrow" w:hAnsi="Arial Narrow"/>
          <w:sz w:val="18"/>
        </w:rPr>
        <w:tab/>
        <w:t>Philip S. Reese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z w:val="18"/>
        </w:rPr>
        <w:tab/>
        <w:t>Vice President and Treasurer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ab/>
        <w:t>Conectiv</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Agreed and accepted this ____day of _____, 2000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Enron Corp.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By: 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Name: 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Title: 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rPr>
          <w:rFonts w:ascii="Arial Narrow" w:hAnsi="Arial Narrow" w:cs="Arial Narrow"/>
          <w:shadow/>
          <w:sz w:val="18"/>
        </w:rPr>
      </w:pPr>
      <w:r>
        <w:rPr>
          <w:rFonts w:cs="Arial Narrow" w:ascii="Arial Narrow" w:hAnsi="Arial Narrow"/>
          <w:shad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bert J. Rieth" w:date="0-00-00T00:00:00Z" w:initials="RJR">
    <w:p>
      <w:pPr>
        <w:overflowPunct w:val="false"/>
        <w:bidi w:val="0"/>
        <w:rPr/>
      </w:pPr>
      <w:r>
        <w:annotationRef/>
      </w:r>
      <w:r>
        <w:rPr>
          <w:rFonts w:ascii="Times New Roman" w:hAnsi="Times New Roman" w:eastAsia="Times New Roman" w:cs="Times New Roman"/>
          <w:color w:val="auto"/>
          <w:sz w:val="20"/>
          <w:szCs w:val="20"/>
          <w:lang w:eastAsia="en-US" w:val="en-US" w:bidi="ar-SA"/>
        </w:rPr>
        <w:t>Change from draft of July 10, 2000.</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start"/>
      <w:pPr>
        <w:tabs>
          <w:tab w:val="num" w:pos="2160"/>
        </w:tabs>
        <w:ind w:start="216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1999-12-02T13:26:00Z</dcterms:created>
  <dc:creator>dperlin</dc:creator>
  <dc:description/>
  <dc:language>en-CA</dc:language>
  <cp:lastModifiedBy>dperlin</cp:lastModifiedBy>
  <cp:lastPrinted>2000-09-06T16:10:00Z</cp:lastPrinted>
  <dcterms:modified xsi:type="dcterms:W3CDTF">2000-09-06T18:41:00Z</dcterms:modified>
  <cp:revision>8</cp:revision>
  <dc:subject/>
  <dc:title>ENFOLIO® MASTER FIRM PURCHASE/SALE AGREEMENT</dc:title>
</cp:coreProperties>
</file>