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RAILROAD COMMISSION OF TEXAS</w:t>
      </w:r>
    </w:p>
    <w:p>
      <w:pPr>
        <w:pStyle w:val="Normal"/>
        <w:widowControl/>
        <w:jc w:val="center"/>
        <w:rPr>
          <w:b/>
          <w:sz w:val="24"/>
        </w:rPr>
      </w:pPr>
      <w:r>
        <w:rPr>
          <w:b/>
          <w:sz w:val="24"/>
        </w:rPr>
        <w:t>OIL AND GAS DIVISION</w:t>
      </w:r>
    </w:p>
    <w:p>
      <w:pPr>
        <w:pStyle w:val="Normal"/>
        <w:widowControl/>
        <w:jc w:val="center"/>
        <w:rPr>
          <w:b/>
          <w:sz w:val="24"/>
        </w:rPr>
      </w:pPr>
      <w:r>
        <w:rPr>
          <w:b/>
          <w:sz w:val="24"/>
        </w:rPr>
      </w:r>
    </w:p>
    <w:p>
      <w:pPr>
        <w:pStyle w:val="Normal"/>
        <w:widowControl/>
        <w:jc w:val="center"/>
        <w:rPr>
          <w:b/>
          <w:sz w:val="24"/>
          <w:u w:val="single"/>
        </w:rPr>
      </w:pPr>
      <w:r>
        <w:rPr>
          <w:b/>
          <w:sz w:val="24"/>
          <w:u w:val="single"/>
        </w:rPr>
        <w:t>Field Guide for the Assessment and Cleanup of Soil and Groundwater Contaminated with Condensate From a Spill Incident</w:t>
      </w:r>
    </w:p>
    <w:p>
      <w:pPr>
        <w:pStyle w:val="Normal"/>
        <w:widowControl/>
        <w:jc w:val="center"/>
        <w:rPr>
          <w:b/>
          <w:sz w:val="24"/>
        </w:rPr>
      </w:pPr>
      <w:r>
        <w:rPr>
          <w:b/>
          <w:sz w:val="24"/>
          <w:u w:val="single"/>
        </w:rPr>
        <w:t>(Statewide Rules 8, 20 and 91)</w:t>
      </w:r>
    </w:p>
    <w:p>
      <w:pPr>
        <w:pStyle w:val="Normal"/>
        <w:widowControl/>
        <w:jc w:val="center"/>
        <w:rPr>
          <w:b/>
          <w:sz w:val="24"/>
        </w:rPr>
      </w:pPr>
      <w:r>
        <w:rPr>
          <w:b/>
          <w:sz w:val="24"/>
        </w:rPr>
      </w:r>
    </w:p>
    <w:p>
      <w:pPr>
        <w:pStyle w:val="Normal"/>
        <w:widowControl/>
        <w:jc w:val="both"/>
        <w:rPr>
          <w:b/>
          <w:sz w:val="24"/>
        </w:rPr>
      </w:pPr>
      <w:r>
        <w:rPr>
          <w:b/>
          <w:sz w:val="24"/>
          <w:u w:val="single"/>
        </w:rPr>
        <w:t>Introduction</w:t>
      </w:r>
    </w:p>
    <w:p>
      <w:pPr>
        <w:pStyle w:val="Normal"/>
        <w:widowControl/>
        <w:jc w:val="both"/>
        <w:rPr>
          <w:b/>
          <w:sz w:val="24"/>
        </w:rPr>
      </w:pPr>
      <w:r>
        <w:rPr>
          <w:b/>
          <w:sz w:val="24"/>
        </w:rPr>
      </w:r>
    </w:p>
    <w:p>
      <w:pPr>
        <w:pStyle w:val="Normal"/>
        <w:widowControl/>
        <w:jc w:val="both"/>
        <w:rPr>
          <w:sz w:val="24"/>
        </w:rPr>
      </w:pPr>
      <w:r>
        <w:rPr>
          <w:sz w:val="24"/>
        </w:rPr>
        <w:t xml:space="preserve">This Field Guide will help the District Offices and responsible parties clean up condensate spills in a manner that assures the goals established by Statewide Rules 8, 20 and 91 are met.  </w:t>
      </w:r>
    </w:p>
    <w:p>
      <w:pPr>
        <w:pStyle w:val="Normal"/>
        <w:widowControl/>
        <w:jc w:val="both"/>
        <w:rPr>
          <w:sz w:val="24"/>
        </w:rPr>
      </w:pPr>
      <w:r>
        <w:rPr>
          <w:sz w:val="24"/>
        </w:rPr>
        <w:t>Statewide Rule 8 provides that no person conducting activities subject to regulation by the Commission may cause or allow pollution of surface or subsurface water in the state.  Rule 20 provides that operators shall give immediate notice of a fire, leak, spill or break, followed by a letter giving the full description of the event including the volume of products lost.  Rule 91 provides that cleanup requirements for hydrocarbon condensate spills and crude oil spills in sensitive areas will be determined on a case-by-case basis.</w:t>
      </w:r>
    </w:p>
    <w:p>
      <w:pPr>
        <w:pStyle w:val="Normal"/>
        <w:widowControl/>
        <w:jc w:val="both"/>
        <w:rPr>
          <w:sz w:val="24"/>
        </w:rPr>
      </w:pPr>
      <w:r>
        <w:rPr>
          <w:sz w:val="24"/>
        </w:rPr>
      </w:r>
    </w:p>
    <w:p>
      <w:pPr>
        <w:pStyle w:val="Normal"/>
        <w:widowControl/>
        <w:jc w:val="both"/>
        <w:rPr>
          <w:sz w:val="24"/>
        </w:rPr>
      </w:pPr>
      <w:r>
        <w:rPr>
          <w:sz w:val="24"/>
        </w:rPr>
        <w:t>Statewide Rule 91 distinguishes two categories of spills: (a) crude oil spills into non- sensitive areas; and, (b) (i) hydrocarbon condensate spills and (ii) crude oil spills in sensitive areas.  Rule 91 establishes clear goals for cleanup of crude oil spills in non sensitive areas: immediate removal of all free oil; immediate vertical and horizontal delineation; specifying the “area of contamination” that must be delineated and disposed of or remediated, and specifying a final cleanup level of “1.0% by weight total petroleum hydrocarbon.”  Rule 91 is less clear about the second category of spills.</w:t>
      </w:r>
    </w:p>
    <w:p>
      <w:pPr>
        <w:pStyle w:val="Normal"/>
        <w:widowControl/>
        <w:jc w:val="both"/>
        <w:rPr>
          <w:sz w:val="24"/>
        </w:rPr>
      </w:pPr>
      <w:r>
        <w:rPr>
          <w:sz w:val="24"/>
        </w:rPr>
      </w:r>
    </w:p>
    <w:p>
      <w:pPr>
        <w:pStyle w:val="Normal"/>
        <w:widowControl/>
        <w:jc w:val="both"/>
        <w:rPr>
          <w:sz w:val="24"/>
        </w:rPr>
      </w:pPr>
      <w:r>
        <w:rPr>
          <w:sz w:val="24"/>
        </w:rPr>
        <w:t xml:space="preserve">It stands to reason that hydrocarbon condensate spills and crude oil spills in sensitive areas, which pose greater risks, should at least follow standards established for the equally important but less threatening spills.  Over time the Commission has come to believe the lack of enumerated standards for condensate spills hamstrings field personnel and perpetuates unacceptable risk to the water and subsurface water of the state.  Commission staff therefore implements the following field guide to establish bench marks and protocols that, when met and followed, will demonstrate that condensate spills have been addressed in a manner that complies with Statewide Rules 8, 20 and 91. </w:t>
      </w:r>
    </w:p>
    <w:p>
      <w:pPr>
        <w:pStyle w:val="Normal"/>
        <w:widowControl/>
        <w:jc w:val="both"/>
        <w:rPr>
          <w:sz w:val="24"/>
        </w:rPr>
      </w:pPr>
      <w:r>
        <w:rPr>
          <w:sz w:val="24"/>
        </w:rPr>
      </w:r>
    </w:p>
    <w:p>
      <w:pPr>
        <w:sectPr>
          <w:footerReference w:type="default" r:id="rId2"/>
          <w:type w:val="nextPage"/>
          <w:pgSz w:w="12240" w:h="15840"/>
          <w:pgMar w:left="1800" w:right="1800" w:gutter="0" w:header="0" w:top="1080" w:footer="1440" w:bottom="1496"/>
          <w:pgNumType w:fmt="decimal"/>
          <w:formProt w:val="false"/>
          <w:textDirection w:val="lrTb"/>
          <w:docGrid w:type="default" w:linePitch="360" w:charSpace="0"/>
        </w:sectPr>
        <w:pStyle w:val="Normal"/>
        <w:widowControl/>
        <w:jc w:val="both"/>
        <w:rPr>
          <w:sz w:val="24"/>
        </w:rPr>
      </w:pPr>
      <w:r>
        <w:rPr>
          <w:sz w:val="24"/>
        </w:rPr>
        <w:t>This Guide provides notice of criteria field personnel may employ in judging whether a hydrocarbon condensate spill response is adequate or inadequate.  This guidance is intended to make operators and responsible persons aware of the Commission staffs’ position and afford an opportunity for voluntary compliance.</w:t>
      </w:r>
    </w:p>
    <w:p>
      <w:pPr>
        <w:pStyle w:val="Normal"/>
        <w:widowControl/>
        <w:jc w:val="both"/>
        <w:rPr>
          <w:sz w:val="24"/>
        </w:rPr>
      </w:pPr>
      <w:r>
        <w:rPr>
          <w:b/>
          <w:sz w:val="24"/>
          <w:u w:val="single"/>
        </w:rPr>
        <w:t>Approved Criteria</w:t>
      </w:r>
    </w:p>
    <w:p>
      <w:pPr>
        <w:pStyle w:val="Normal"/>
        <w:widowControl/>
        <w:jc w:val="both"/>
        <w:rPr>
          <w:sz w:val="24"/>
        </w:rPr>
      </w:pPr>
      <w:r>
        <w:rPr>
          <w:sz w:val="24"/>
        </w:rPr>
      </w:r>
    </w:p>
    <w:p>
      <w:pPr>
        <w:pStyle w:val="Normal"/>
        <w:widowControl/>
        <w:jc w:val="both"/>
        <w:rPr>
          <w:sz w:val="24"/>
        </w:rPr>
      </w:pPr>
      <w:r>
        <w:rPr>
          <w:sz w:val="24"/>
        </w:rPr>
        <w:t xml:space="preserve">It is recommended that field personnel use the following criteria to evaluate compliance with Statewide Rules 8, 20 and 91 after a condensate release: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A. Determine whether the operator/responsible person:</w:t>
      </w:r>
    </w:p>
    <w:p>
      <w:pPr>
        <w:pStyle w:val="Normal"/>
        <w:widowControl/>
        <w:ind w:firstLine="720" w:end="0"/>
        <w:jc w:val="both"/>
        <w:rPr>
          <w:sz w:val="32"/>
        </w:rPr>
      </w:pPr>
      <w:r>
        <w:rPr>
          <w:sz w:val="32"/>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4"/>
        </w:rPr>
      </w:pPr>
      <w:r>
        <w:rPr>
          <w:sz w:val="24"/>
        </w:rPr>
        <w:t>1.   Provided notice to the RRC as described in Statewide Rule 20 (a) (1);</w:t>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4"/>
        </w:rPr>
      </w:pPr>
      <w:r>
        <w:rPr>
          <w:sz w:val="24"/>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sz w:val="24"/>
        </w:rPr>
      </w:pPr>
      <w:r>
        <w:rPr>
          <w:sz w:val="24"/>
        </w:rPr>
        <w:t>2.</w:t>
        <w:tab/>
        <w:t>Removed all free liquids immediately;</w:t>
      </w:r>
    </w:p>
    <w:p>
      <w:pPr>
        <w:pStyle w:val="Normal"/>
        <w:widowControl/>
        <w:tabs>
          <w:tab w:val="clear" w:pos="72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4"/>
        </w:rPr>
      </w:pPr>
      <w:r>
        <w:rPr>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rPr/>
      </w:pPr>
      <w:r>
        <w:rPr/>
        <w:t>3.</w:t>
        <w:tab/>
        <w:t>Used grab samples and analytical testing for Total Petroleum Hydrocarbons (TPH) and benzene, toluene, ethyl benzene and toluene (BTEX) to verify that delineation has been achieved.   Knowledge about product composition is helpful in determining appropriate analytical methods.  TPH analyses should use standard industry methods, which include but are not limited to, 418.1, modified 1005 (to include carbon fractions up to C-35), 1006, or Massachusetts VPH/EPH.  BTEX analyses should use EPA-approved methods, which include 8260 or 8021B.  Additional methods may be used provided that the operator/responsible party demonstrates that the method is appropriate to characterize the specific condensate.</w:t>
      </w:r>
    </w:p>
    <w:p>
      <w:pPr>
        <w:pStyle w:val="Normal"/>
        <w:widowControl/>
        <w:tabs>
          <w:tab w:val="left" w:pos="72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jc w:val="both"/>
        <w:rPr>
          <w:sz w:val="24"/>
        </w:rPr>
      </w:pPr>
      <w:r>
        <w:rPr>
          <w:sz w:val="24"/>
        </w:rPr>
      </w:r>
    </w:p>
    <w:p>
      <w:pPr>
        <w:pStyle w:val="Normal"/>
        <w:widowControl/>
        <w:tabs>
          <w:tab w:val="left" w:pos="72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jc w:val="both"/>
        <w:rPr>
          <w:sz w:val="24"/>
        </w:rPr>
      </w:pPr>
      <w:r>
        <w:rPr>
          <w:sz w:val="24"/>
        </w:rPr>
      </w:r>
    </w:p>
    <w:p>
      <w:pPr>
        <w:pStyle w:val="Normal"/>
        <w:widowControl/>
        <w:tabs>
          <w:tab w:val="left" w:pos="72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jc w:val="both"/>
        <w:rPr>
          <w:sz w:val="24"/>
        </w:rPr>
      </w:pPr>
      <w:r>
        <w:rPr>
          <w:sz w:val="24"/>
        </w:rPr>
        <w:t xml:space="preserve">B. When reportable releases are immediately excavated, determine whether the operator/responsible person: </w:t>
      </w:r>
    </w:p>
    <w:p>
      <w:pPr>
        <w:pStyle w:val="Normal"/>
        <w:widowControl/>
        <w:tabs>
          <w:tab w:val="left" w:pos="72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jc w:val="both"/>
        <w:rPr>
          <w:sz w:val="24"/>
        </w:rPr>
      </w:pPr>
      <w:r>
        <w:rPr>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rPr/>
      </w:pPr>
      <w:r>
        <w:rPr/>
        <w:t>1.</w:t>
        <w:tab/>
        <w:t>Provided analytical results from one confirmation sample of TPH and BTEX at the base of the excavation where deepest spill penetration has occurred.</w:t>
      </w:r>
    </w:p>
    <w:p>
      <w:pPr>
        <w:pStyle w:val="Normal"/>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end="0"/>
        <w:jc w:val="both"/>
        <w:rPr>
          <w:sz w:val="24"/>
        </w:rPr>
      </w:pPr>
      <w:r>
        <w:rPr>
          <w:sz w:val="24"/>
        </w:rPr>
      </w:r>
    </w:p>
    <w:p>
      <w:pPr>
        <w:pStyle w:val="Normal"/>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0"/>
        <w:jc w:val="both"/>
        <w:rPr/>
      </w:pPr>
      <w:r>
        <w:rPr>
          <w:sz w:val="24"/>
        </w:rPr>
        <w:t xml:space="preserve">[NOTE: Pursuant to Statewide Rule 20, </w:t>
      </w:r>
      <w:r>
        <w:rPr>
          <w:i/>
          <w:sz w:val="24"/>
        </w:rPr>
        <w:t>all</w:t>
      </w:r>
      <w:r>
        <w:rPr>
          <w:sz w:val="24"/>
        </w:rPr>
        <w:t xml:space="preserve"> condensate releases are reportable.]</w:t>
      </w:r>
    </w:p>
    <w:p>
      <w:pPr>
        <w:pStyle w:val="Normal"/>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sz w:val="24"/>
        </w:rPr>
      </w:pPr>
      <w:r>
        <w:rPr>
          <w:sz w:val="24"/>
        </w:rPr>
      </w:r>
    </w:p>
    <w:p>
      <w:pPr>
        <w:pStyle w:val="Normal"/>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sz w:val="24"/>
        </w:rPr>
      </w:pPr>
      <w:r>
        <w:rPr>
          <w:sz w:val="24"/>
        </w:rPr>
      </w:r>
    </w:p>
    <w:p>
      <w:pPr>
        <w:pStyle w:val="Normal"/>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pPr>
      <w:r>
        <w:rPr>
          <w:sz w:val="24"/>
        </w:rPr>
        <w:t xml:space="preserve">C. When reportable releases are </w:t>
      </w:r>
      <w:r>
        <w:rPr>
          <w:i/>
          <w:sz w:val="24"/>
        </w:rPr>
        <w:t>not</w:t>
      </w:r>
      <w:r>
        <w:rPr>
          <w:sz w:val="24"/>
        </w:rPr>
        <w:t xml:space="preserve"> immediately excavated, determine whether the                  operator/responsible person:</w:t>
      </w:r>
    </w:p>
    <w:p>
      <w:pPr>
        <w:pStyle w:val="Normal"/>
        <w:widowControl/>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sz w:val="24"/>
        </w:rPr>
      </w:pPr>
      <w:r>
        <w:rPr>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rPr/>
      </w:pPr>
      <w:r>
        <w:rPr/>
        <w:t>1.</w:t>
        <w:tab/>
        <w:t>Provided surface soil delineation based on 5 sample locations (in a 5-spot pattern) or more, analyzed for TPH and BTEX;</w:t>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rPr/>
      </w:pPr>
      <w:r>
        <w:rPr/>
        <w:t>2.</w:t>
        <w:tab/>
        <w:t>Conducted soil and groundwater delineation based on the following:</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sz w:val="24"/>
        </w:rPr>
      </w:pPr>
      <w:r>
        <w:rPr>
          <w:sz w:val="24"/>
        </w:rPr>
      </w:r>
    </w:p>
    <w:p>
      <w:pPr>
        <w:sectPr>
          <w:footerReference w:type="default" r:id="rId3"/>
          <w:footerReference w:type="first" r:id="rId4"/>
          <w:type w:val="nextPage"/>
          <w:pgSz w:w="12240" w:h="15840"/>
          <w:pgMar w:left="1800" w:right="1800" w:gutter="0" w:header="0" w:top="1440" w:footer="1440" w:bottom="1496"/>
          <w:pgNumType w:fmt="decimal"/>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sz w:val="24"/>
        </w:rPr>
      </w:pPr>
      <w:r>
        <w:rPr>
          <w:sz w:val="24"/>
        </w:rPr>
        <w:t xml:space="preserve">a. </w:t>
      </w:r>
      <w:r>
        <w:rPr>
          <w:sz w:val="24"/>
          <w:u w:val="single"/>
        </w:rPr>
        <w:t>First Groundwater Zone is a Limited Resource (Class III)</w:t>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4"/>
        </w:rPr>
      </w:pPr>
      <w:r>
        <w:fldChar w:fldCharType="begin"/>
      </w:r>
      <w:r>
        <w:rPr>
          <w:sz w:val="24"/>
        </w:rPr>
        <w:instrText xml:space="preserve">ADVANCE \d6</w:instrText>
      </w:r>
      <w:r>
        <w:rPr>
          <w:sz w:val="24"/>
        </w:rPr>
      </w:r>
      <w:r>
        <w:rPr>
          <w:sz w:val="24"/>
        </w:rPr>
        <w:fldChar w:fldCharType="separate"/>
      </w:r>
      <w:r>
        <w:rPr>
          <w:sz w:val="24"/>
        </w:rPr>
      </w:r>
      <w:r/>
      <w:r>
        <w:rPr>
          <w:sz w:val="24"/>
        </w:rPr>
        <w:fldChar w:fldCharType="end"/>
      </w:r>
      <w:r>
        <w:rPr>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pPr>
      <w:r>
        <w:rPr/>
        <w:t xml:space="preserve">i.   For delineation, a minimum of 5 soil sample locations (in a 5-spot       pattern) analyzed for TPH and BTEX; </w:t>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pPr>
      <w:r>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pPr>
      <w:r>
        <w:rPr/>
        <w:t>ii. Horizontal and vertical soil delineation to the following Limited      (Class III) Groundwater protection limits:</w:t>
      </w:r>
    </w:p>
    <w:p>
      <w:pPr>
        <w:pStyle w:val="Normal"/>
        <w:widowControl/>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4"/>
        </w:rPr>
      </w:pPr>
      <w:r>
        <w:rPr>
          <w:sz w:val="24"/>
        </w:rPr>
      </w:r>
    </w:p>
    <w:p>
      <w:pPr>
        <w:pStyle w:val="Heading2"/>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Limited (Class III) Groundwater Protection Limit</w:t>
      </w:r>
    </w:p>
    <w:p>
      <w:pPr>
        <w:pStyle w:val="Normal"/>
        <w:widowControl/>
        <w:tabs>
          <w:tab w:val="clear" w:pos="720"/>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sz w:val="24"/>
        </w:rPr>
      </w:pPr>
      <w:r>
        <w:rPr>
          <w:sz w:val="24"/>
        </w:rPr>
      </w:r>
    </w:p>
    <w:tbl>
      <w:tblPr>
        <w:tblW w:w="7458" w:type="dxa"/>
        <w:jc w:val="center"/>
        <w:tblInd w:w="0" w:type="dxa"/>
        <w:tblLayout w:type="fixed"/>
        <w:tblCellMar>
          <w:top w:w="0" w:type="dxa"/>
          <w:start w:w="117" w:type="dxa"/>
          <w:bottom w:w="0" w:type="dxa"/>
          <w:end w:w="117" w:type="dxa"/>
        </w:tblCellMar>
      </w:tblPr>
      <w:tblGrid>
        <w:gridCol w:w="1634"/>
        <w:gridCol w:w="2971"/>
        <w:gridCol w:w="2853"/>
      </w:tblGrid>
      <w:tr>
        <w:trPr/>
        <w:tc>
          <w:tcPr>
            <w:tcW w:w="1634" w:type="dxa"/>
            <w:tcBorders>
              <w:top w:val="single" w:sz="6" w:space="0" w:color="000000"/>
              <w:start w:val="single" w:sz="6" w:space="0" w:color="000000"/>
              <w:bottom w:val="single" w:sz="6" w:space="0" w:color="FFFFFF"/>
              <w:end w:val="single" w:sz="6" w:space="0" w:color="FFFFFF"/>
            </w:tcBorders>
            <w:shd w:fill="000080" w:val="clear"/>
          </w:tcPr>
          <w:p>
            <w:pPr>
              <w:pStyle w:val="Normal"/>
              <w:snapToGrid w:val="false"/>
              <w:spacing w:lineRule="exact" w:line="62"/>
              <w:rPr>
                <w:sz w:val="24"/>
              </w:rPr>
            </w:pPr>
            <w:r>
              <w:rPr>
                <w:sz w:val="24"/>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FFFFFF"/>
                <w:sz w:val="24"/>
              </w:rPr>
            </w:pPr>
            <w:r>
              <w:rPr>
                <w:b/>
                <w:color w:val="FFFFFF"/>
                <w:sz w:val="24"/>
              </w:rPr>
              <w:t>Compound</w:t>
            </w:r>
          </w:p>
        </w:tc>
        <w:tc>
          <w:tcPr>
            <w:tcW w:w="2971" w:type="dxa"/>
            <w:tcBorders>
              <w:top w:val="single" w:sz="6" w:space="0" w:color="000000"/>
              <w:start w:val="single" w:sz="6" w:space="0" w:color="000000"/>
              <w:bottom w:val="single" w:sz="6" w:space="0" w:color="FFFFFF"/>
              <w:end w:val="single" w:sz="6" w:space="0" w:color="FFFFFF"/>
            </w:tcBorders>
            <w:shd w:fill="000080" w:val="clear"/>
          </w:tcPr>
          <w:p>
            <w:pPr>
              <w:pStyle w:val="Normal"/>
              <w:snapToGrid w:val="false"/>
              <w:spacing w:lineRule="exact" w:line="62"/>
              <w:rPr>
                <w:b/>
                <w:color w:val="FFFFFF"/>
                <w:sz w:val="24"/>
              </w:rPr>
            </w:pPr>
            <w:r>
              <w:rPr>
                <w:b/>
                <w:color w:val="FFFFFF"/>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FFFFFF"/>
                <w:sz w:val="24"/>
              </w:rPr>
            </w:pPr>
            <w:r>
              <w:rPr>
                <w:b/>
                <w:color w:val="FFFFFF"/>
                <w:sz w:val="24"/>
              </w:rPr>
              <w:t>Residential Limit (mg/kg)</w:t>
            </w:r>
          </w:p>
        </w:tc>
        <w:tc>
          <w:tcPr>
            <w:tcW w:w="2853" w:type="dxa"/>
            <w:tcBorders>
              <w:top w:val="single" w:sz="6" w:space="0" w:color="000000"/>
              <w:start w:val="single" w:sz="6" w:space="0" w:color="000000"/>
              <w:bottom w:val="single" w:sz="6" w:space="0" w:color="FFFFFF"/>
              <w:end w:val="single" w:sz="6" w:space="0" w:color="000000"/>
            </w:tcBorders>
            <w:shd w:fill="000080" w:val="clear"/>
          </w:tcPr>
          <w:p>
            <w:pPr>
              <w:pStyle w:val="Normal"/>
              <w:snapToGrid w:val="false"/>
              <w:spacing w:lineRule="exact" w:line="62"/>
              <w:rPr>
                <w:b/>
                <w:color w:val="FFFFFF"/>
                <w:sz w:val="24"/>
              </w:rPr>
            </w:pPr>
            <w:r>
              <w:rPr>
                <w:b/>
                <w:color w:val="FFFFFF"/>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FFFFFF"/>
                <w:sz w:val="28"/>
              </w:rPr>
            </w:pPr>
            <w:r>
              <w:rPr>
                <w:b/>
                <w:color w:val="FFFFFF"/>
                <w:sz w:val="24"/>
              </w:rPr>
              <w:t>Industrial Limit (mg/kg)</w:t>
            </w:r>
          </w:p>
        </w:tc>
      </w:tr>
      <w:tr>
        <w:trPr/>
        <w:tc>
          <w:tcPr>
            <w:tcW w:w="163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b/>
                <w:color w:val="FFFFFF"/>
                <w:sz w:val="28"/>
              </w:rPr>
            </w:pPr>
            <w:r>
              <w:rPr>
                <w:b/>
                <w:color w:val="FFFFFF"/>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TPH</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11000</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8"/>
              </w:rPr>
            </w:pPr>
            <w:r>
              <w:rPr>
                <w:color w:val="000000"/>
                <w:sz w:val="24"/>
              </w:rPr>
              <w:t>31000</w:t>
            </w:r>
          </w:p>
        </w:tc>
      </w:tr>
      <w:tr>
        <w:trPr/>
        <w:tc>
          <w:tcPr>
            <w:tcW w:w="163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8"/>
              </w:rPr>
            </w:pPr>
            <w:r>
              <w:rPr>
                <w:color w:val="000000"/>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Benzene</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2.6</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8"/>
              </w:rPr>
            </w:pPr>
            <w:r>
              <w:rPr>
                <w:color w:val="000000"/>
                <w:sz w:val="24"/>
              </w:rPr>
              <w:t>2.6</w:t>
            </w:r>
          </w:p>
        </w:tc>
      </w:tr>
      <w:tr>
        <w:trPr/>
        <w:tc>
          <w:tcPr>
            <w:tcW w:w="163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8"/>
              </w:rPr>
            </w:pPr>
            <w:r>
              <w:rPr>
                <w:color w:val="000000"/>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Toluene</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820</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820</w:t>
            </w:r>
          </w:p>
        </w:tc>
      </w:tr>
      <w:tr>
        <w:trPr/>
        <w:tc>
          <w:tcPr>
            <w:tcW w:w="163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Ethylbenzene</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760</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8"/>
              </w:rPr>
            </w:pPr>
            <w:r>
              <w:rPr>
                <w:color w:val="000000"/>
                <w:sz w:val="24"/>
              </w:rPr>
              <w:t>760</w:t>
            </w:r>
          </w:p>
        </w:tc>
      </w:tr>
      <w:tr>
        <w:trPr/>
        <w:tc>
          <w:tcPr>
            <w:tcW w:w="1634"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2"/>
              <w:rPr>
                <w:color w:val="000000"/>
                <w:sz w:val="28"/>
              </w:rPr>
            </w:pPr>
            <w:r>
              <w:rPr>
                <w:color w:val="000000"/>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both"/>
              <w:rPr>
                <w:color w:val="000000"/>
                <w:sz w:val="24"/>
              </w:rPr>
            </w:pPr>
            <w:r>
              <w:rPr>
                <w:color w:val="000000"/>
                <w:sz w:val="24"/>
              </w:rPr>
              <w:t>Xylenes</w:t>
            </w:r>
          </w:p>
        </w:tc>
        <w:tc>
          <w:tcPr>
            <w:tcW w:w="2971"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center"/>
              <w:rPr>
                <w:color w:val="000000"/>
                <w:sz w:val="24"/>
              </w:rPr>
            </w:pPr>
            <w:r>
              <w:rPr>
                <w:color w:val="000000"/>
                <w:sz w:val="24"/>
              </w:rPr>
              <w:t>12000</w:t>
            </w:r>
          </w:p>
        </w:tc>
        <w:tc>
          <w:tcPr>
            <w:tcW w:w="285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center"/>
              <w:rPr>
                <w:color w:val="000000"/>
                <w:sz w:val="28"/>
              </w:rPr>
            </w:pPr>
            <w:r>
              <w:rPr>
                <w:color w:val="000000"/>
                <w:sz w:val="24"/>
              </w:rPr>
              <w:t>12000</w:t>
            </w:r>
          </w:p>
        </w:tc>
      </w:tr>
    </w:tbl>
    <w:p>
      <w:pPr>
        <w:pStyle w:val="Normal"/>
        <w:widowControl/>
        <w:tabs>
          <w:tab w:val="clear" w:pos="72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color w:val="000000"/>
          <w:sz w:val="24"/>
        </w:rPr>
      </w:pPr>
      <w:r>
        <w:rPr>
          <w:color w:val="000000"/>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color w:val="000000"/>
        </w:rPr>
      </w:pPr>
      <w:r>
        <w:rPr>
          <w:color w:val="000000"/>
        </w:rPr>
        <w:t>iii. The first groundwater zone is defined in this guide as a Limited        (Class III) groundwater resource if it meets the following criteria:</w:t>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rPr>
      </w:pPr>
      <w:r>
        <w:rPr>
          <w:color w:val="000000"/>
        </w:rPr>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2160" w:end="0"/>
        <w:rPr/>
      </w:pPr>
      <w:r>
        <w:rPr>
          <w:color w:val="000000"/>
        </w:rPr>
        <w:t>(</w:t>
      </w:r>
      <w:r>
        <w:rPr>
          <w:i/>
          <w:color w:val="000000"/>
        </w:rPr>
        <w:t>a</w:t>
      </w:r>
      <w:r>
        <w:rPr>
          <w:color w:val="000000"/>
        </w:rPr>
        <w:t>) The groundwater zone within ½ mile radius of the condensate release is not capable of yielding water with less than 10,000 mg/kg total dissolved solids (TDS); and</w:t>
      </w:r>
    </w:p>
    <w:p>
      <w:pPr>
        <w:pStyle w:val="Normal"/>
        <w:widowControl/>
        <w:tabs>
          <w:tab w:val="clear" w:pos="720"/>
          <w:tab w:val="left" w:pos="2160" w:leader="none"/>
          <w:tab w:val="left" w:pos="288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360" w:end="0"/>
        <w:jc w:val="both"/>
        <w:rPr>
          <w:color w:val="000000"/>
        </w:rPr>
      </w:pPr>
      <w:r>
        <w:rPr>
          <w:color w:val="000000"/>
        </w:rPr>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2160" w:end="0"/>
        <w:rPr/>
      </w:pPr>
      <w:r>
        <w:rPr>
          <w:color w:val="000000"/>
        </w:rPr>
        <w:t>(</w:t>
      </w:r>
      <w:r>
        <w:rPr>
          <w:i/>
          <w:color w:val="000000"/>
        </w:rPr>
        <w:t>b</w:t>
      </w:r>
      <w:r>
        <w:rPr>
          <w:color w:val="000000"/>
        </w:rPr>
        <w:t>) The groundwater zone within ½ mile radius of the delineated edge of the condensate release is not being used for any human or ecological purpose.</w:t>
      </w:r>
    </w:p>
    <w:p>
      <w:pPr>
        <w:pStyle w:val="Normal"/>
        <w:widowControl/>
        <w:tabs>
          <w:tab w:val="clear" w:pos="720"/>
          <w:tab w:val="left" w:pos="252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jc w:val="both"/>
        <w:rPr>
          <w:color w:val="000000"/>
        </w:rPr>
      </w:pPr>
      <w:r>
        <w:rPr>
          <w:color w:val="000000"/>
        </w:rPr>
      </w:r>
    </w:p>
    <w:p>
      <w:pPr>
        <w:pStyle w:val="Normal"/>
        <w:widowControl/>
        <w:tabs>
          <w:tab w:val="clear" w:pos="720"/>
          <w:tab w:val="left" w:pos="252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3600" w:end="0"/>
        <w:jc w:val="both"/>
        <w:rPr/>
      </w:pPr>
      <w:r>
        <w:rPr>
          <w:color w:val="000000"/>
          <w:sz w:val="24"/>
        </w:rPr>
        <w:t xml:space="preserve">b. </w:t>
      </w:r>
      <w:r>
        <w:rPr>
          <w:color w:val="000000"/>
          <w:sz w:val="24"/>
          <w:u w:val="single"/>
        </w:rPr>
        <w:t>First Groundwater Zone is an Unlimited Resource (Class I or Class II)</w:t>
      </w:r>
      <w:r>
        <w:rPr>
          <w:color w:val="000000"/>
          <w:sz w:val="24"/>
        </w:rPr>
        <w:t xml:space="preserve"> </w:t>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end="0"/>
        <w:jc w:val="both"/>
        <w:rPr>
          <w:color w:val="000000"/>
          <w:sz w:val="24"/>
        </w:rPr>
      </w:pPr>
      <w:r>
        <w:rPr>
          <w:color w:val="000000"/>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color w:val="000000"/>
        </w:rPr>
      </w:pPr>
      <w:r>
        <w:rPr>
          <w:color w:val="000000"/>
        </w:rPr>
        <w:t>i. For delineation a minimum of 5 soil sample locations (in a 5-spot     pattern) analyzed for TPH and BTEX.</w:t>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0" w:end="0"/>
        <w:rPr>
          <w:color w:val="000000"/>
        </w:rPr>
      </w:pPr>
      <w:r>
        <w:rPr>
          <w:color w:val="000000"/>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color w:val="000000"/>
        </w:rPr>
      </w:pPr>
      <w:r>
        <w:rPr>
          <w:color w:val="000000"/>
        </w:rPr>
        <w:t>ii. Horizontal and vertical soil delineation to the following Unlimited      (Class I or II) Groundwater protection limits:</w:t>
      </w:r>
    </w:p>
    <w:p>
      <w:pPr>
        <w:sectPr>
          <w:type w:val="continuous"/>
          <w:pgSz w:w="12240" w:h="15840"/>
          <w:pgMar w:left="1800" w:right="180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216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end="0"/>
        <w:jc w:val="both"/>
        <w:rPr>
          <w:color w:val="000000"/>
          <w:sz w:val="24"/>
        </w:rPr>
      </w:pPr>
      <w:r>
        <w:rPr>
          <w:color w:val="000000"/>
          <w:sz w:val="24"/>
        </w:rPr>
      </w:r>
    </w:p>
    <w:p>
      <w:pPr>
        <w:pStyle w:val="Heading2"/>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rPr>
      </w:pPr>
      <w:r>
        <w:rPr>
          <w:color w:val="000000"/>
        </w:rPr>
        <w:t>Unlimited (Class I and Class II) Groundwater Protection Limit</w:t>
      </w:r>
    </w:p>
    <w:p>
      <w:pPr>
        <w:pStyle w:val="Normal"/>
        <w:widowControl/>
        <w:tabs>
          <w:tab w:val="clear" w:pos="720"/>
          <w:tab w:val="left" w:pos="144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color w:val="000000"/>
          <w:sz w:val="24"/>
        </w:rPr>
      </w:pPr>
      <w:r>
        <w:rPr>
          <w:color w:val="000000"/>
          <w:sz w:val="24"/>
        </w:rPr>
      </w:r>
    </w:p>
    <w:tbl>
      <w:tblPr>
        <w:tblW w:w="7508" w:type="dxa"/>
        <w:jc w:val="start"/>
        <w:tblInd w:w="657" w:type="dxa"/>
        <w:tblLayout w:type="fixed"/>
        <w:tblCellMar>
          <w:top w:w="0" w:type="dxa"/>
          <w:start w:w="117" w:type="dxa"/>
          <w:bottom w:w="0" w:type="dxa"/>
          <w:end w:w="117" w:type="dxa"/>
        </w:tblCellMar>
      </w:tblPr>
      <w:tblGrid>
        <w:gridCol w:w="1684"/>
        <w:gridCol w:w="2971"/>
        <w:gridCol w:w="2853"/>
      </w:tblGrid>
      <w:tr>
        <w:trPr/>
        <w:tc>
          <w:tcPr>
            <w:tcW w:w="1684" w:type="dxa"/>
            <w:tcBorders>
              <w:top w:val="single" w:sz="6" w:space="0" w:color="000000"/>
              <w:start w:val="single" w:sz="6" w:space="0" w:color="000000"/>
              <w:bottom w:val="single" w:sz="6" w:space="0" w:color="FFFFFF"/>
              <w:end w:val="single" w:sz="6" w:space="0" w:color="FFFFFF"/>
            </w:tcBorders>
            <w:shd w:fill="000080" w:val="clear"/>
          </w:tcPr>
          <w:p>
            <w:pPr>
              <w:pStyle w:val="Normal"/>
              <w:snapToGrid w:val="false"/>
              <w:spacing w:lineRule="exact" w:line="62"/>
              <w:rPr>
                <w:color w:val="000000"/>
                <w:sz w:val="24"/>
              </w:rPr>
            </w:pPr>
            <w:r>
              <w:rPr>
                <w:color w:val="000000"/>
                <w:sz w:val="24"/>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FFFFFF"/>
                <w:sz w:val="24"/>
              </w:rPr>
            </w:pPr>
            <w:r>
              <w:rPr>
                <w:b/>
                <w:color w:val="FFFFFF"/>
                <w:sz w:val="24"/>
              </w:rPr>
              <w:t>Compound</w:t>
            </w:r>
          </w:p>
        </w:tc>
        <w:tc>
          <w:tcPr>
            <w:tcW w:w="2971" w:type="dxa"/>
            <w:tcBorders>
              <w:top w:val="single" w:sz="6" w:space="0" w:color="000000"/>
              <w:start w:val="single" w:sz="6" w:space="0" w:color="000000"/>
              <w:bottom w:val="single" w:sz="6" w:space="0" w:color="FFFFFF"/>
              <w:end w:val="single" w:sz="6" w:space="0" w:color="FFFFFF"/>
            </w:tcBorders>
            <w:shd w:fill="000080" w:val="clear"/>
          </w:tcPr>
          <w:p>
            <w:pPr>
              <w:pStyle w:val="Normal"/>
              <w:snapToGrid w:val="false"/>
              <w:spacing w:lineRule="exact" w:line="62"/>
              <w:rPr>
                <w:b/>
                <w:color w:val="FFFFFF"/>
                <w:sz w:val="24"/>
              </w:rPr>
            </w:pPr>
            <w:r>
              <w:rPr>
                <w:b/>
                <w:color w:val="FFFFFF"/>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FFFFFF"/>
                <w:sz w:val="24"/>
              </w:rPr>
            </w:pPr>
            <w:r>
              <w:rPr>
                <w:b/>
                <w:color w:val="FFFFFF"/>
                <w:sz w:val="24"/>
              </w:rPr>
              <w:t>Residential Limit (mg/kg)</w:t>
            </w:r>
          </w:p>
        </w:tc>
        <w:tc>
          <w:tcPr>
            <w:tcW w:w="2853" w:type="dxa"/>
            <w:tcBorders>
              <w:top w:val="single" w:sz="6" w:space="0" w:color="000000"/>
              <w:start w:val="single" w:sz="6" w:space="0" w:color="000000"/>
              <w:bottom w:val="single" w:sz="6" w:space="0" w:color="FFFFFF"/>
              <w:end w:val="single" w:sz="6" w:space="0" w:color="000000"/>
            </w:tcBorders>
            <w:shd w:fill="000080" w:val="clear"/>
          </w:tcPr>
          <w:p>
            <w:pPr>
              <w:pStyle w:val="Normal"/>
              <w:snapToGrid w:val="false"/>
              <w:spacing w:lineRule="exact" w:line="62"/>
              <w:rPr>
                <w:b/>
                <w:color w:val="FFFFFF"/>
                <w:sz w:val="24"/>
              </w:rPr>
            </w:pPr>
            <w:r>
              <w:rPr>
                <w:b/>
                <w:color w:val="FFFFFF"/>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color w:val="FFFFFF"/>
                <w:sz w:val="28"/>
              </w:rPr>
            </w:pPr>
            <w:r>
              <w:rPr>
                <w:b/>
                <w:color w:val="FFFFFF"/>
                <w:sz w:val="24"/>
              </w:rPr>
              <w:t>Industrial Limit (mg/kg)</w:t>
            </w:r>
          </w:p>
        </w:tc>
      </w:tr>
      <w:tr>
        <w:trPr/>
        <w:tc>
          <w:tcPr>
            <w:tcW w:w="168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b/>
                <w:color w:val="FFFFFF"/>
                <w:sz w:val="28"/>
              </w:rPr>
            </w:pPr>
            <w:r>
              <w:rPr>
                <w:b/>
                <w:color w:val="FFFFFF"/>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TPH</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110</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8"/>
              </w:rPr>
            </w:pPr>
            <w:r>
              <w:rPr>
                <w:color w:val="000000"/>
                <w:sz w:val="24"/>
              </w:rPr>
              <w:t>310</w:t>
            </w:r>
          </w:p>
        </w:tc>
      </w:tr>
      <w:tr>
        <w:trPr/>
        <w:tc>
          <w:tcPr>
            <w:tcW w:w="168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8"/>
              </w:rPr>
            </w:pPr>
            <w:r>
              <w:rPr>
                <w:color w:val="000000"/>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Benzene</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0.026</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8"/>
              </w:rPr>
            </w:pPr>
            <w:r>
              <w:rPr>
                <w:color w:val="000000"/>
                <w:sz w:val="24"/>
              </w:rPr>
              <w:t>0.026</w:t>
            </w:r>
          </w:p>
        </w:tc>
      </w:tr>
      <w:tr>
        <w:trPr/>
        <w:tc>
          <w:tcPr>
            <w:tcW w:w="168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8"/>
              </w:rPr>
            </w:pPr>
            <w:r>
              <w:rPr>
                <w:color w:val="000000"/>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Toluene</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8.2</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8.2</w:t>
            </w:r>
          </w:p>
        </w:tc>
      </w:tr>
      <w:tr>
        <w:trPr/>
        <w:tc>
          <w:tcPr>
            <w:tcW w:w="1684"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Ethyl benzene</w:t>
            </w:r>
          </w:p>
        </w:tc>
        <w:tc>
          <w:tcPr>
            <w:tcW w:w="2971"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4"/>
              </w:rPr>
            </w:pPr>
            <w:r>
              <w:rPr>
                <w:color w:val="000000"/>
                <w:sz w:val="24"/>
              </w:rPr>
              <w:t>7.6</w:t>
            </w:r>
          </w:p>
        </w:tc>
        <w:tc>
          <w:tcPr>
            <w:tcW w:w="2853"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8"/>
              </w:rPr>
            </w:pPr>
            <w:r>
              <w:rPr>
                <w:color w:val="000000"/>
                <w:sz w:val="24"/>
              </w:rPr>
              <w:t>7.6</w:t>
            </w:r>
          </w:p>
        </w:tc>
      </w:tr>
      <w:tr>
        <w:trPr/>
        <w:tc>
          <w:tcPr>
            <w:tcW w:w="1684"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2"/>
              <w:rPr>
                <w:color w:val="000000"/>
                <w:sz w:val="28"/>
              </w:rPr>
            </w:pPr>
            <w:r>
              <w:rPr>
                <w:color w:val="000000"/>
                <w:sz w:val="28"/>
              </w:rPr>
            </w:r>
          </w:p>
          <w:p>
            <w:pPr>
              <w:pStyle w:val="Normal"/>
              <w:widowControl/>
              <w:tabs>
                <w:tab w:val="clear" w:pos="720"/>
                <w:tab w:val="left" w:pos="-180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both"/>
              <w:rPr>
                <w:color w:val="000000"/>
                <w:sz w:val="24"/>
              </w:rPr>
            </w:pPr>
            <w:r>
              <w:rPr>
                <w:color w:val="000000"/>
                <w:sz w:val="24"/>
              </w:rPr>
              <w:t>Xylene</w:t>
            </w:r>
          </w:p>
        </w:tc>
        <w:tc>
          <w:tcPr>
            <w:tcW w:w="2971"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center"/>
              <w:rPr>
                <w:color w:val="000000"/>
                <w:sz w:val="24"/>
              </w:rPr>
            </w:pPr>
            <w:r>
              <w:rPr>
                <w:color w:val="000000"/>
                <w:sz w:val="24"/>
              </w:rPr>
              <w:t>120</w:t>
            </w:r>
          </w:p>
        </w:tc>
        <w:tc>
          <w:tcPr>
            <w:tcW w:w="285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62"/>
              <w:rPr>
                <w:color w:val="000000"/>
                <w:sz w:val="24"/>
              </w:rPr>
            </w:pPr>
            <w:r>
              <w:rPr>
                <w:color w:val="000000"/>
                <w:sz w:val="24"/>
              </w:rPr>
            </w:r>
          </w:p>
          <w:p>
            <w:pPr>
              <w:pStyle w:val="Normal"/>
              <w:widowContro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jc w:val="center"/>
              <w:rPr>
                <w:color w:val="000000"/>
                <w:sz w:val="28"/>
              </w:rPr>
            </w:pPr>
            <w:r>
              <w:rPr>
                <w:color w:val="000000"/>
                <w:sz w:val="24"/>
              </w:rPr>
              <w:t>120</w:t>
            </w:r>
          </w:p>
        </w:tc>
      </w:tr>
    </w:tbl>
    <w:p>
      <w:pPr>
        <w:pStyle w:val="Normal"/>
        <w:widowControl/>
        <w:tabs>
          <w:tab w:val="clear" w:pos="72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color w:val="000000"/>
          <w:sz w:val="24"/>
        </w:rPr>
      </w:pPr>
      <w:r>
        <w:rPr>
          <w:color w:val="000000"/>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70" w:start="2430" w:end="0"/>
        <w:rPr>
          <w:color w:val="000000"/>
        </w:rPr>
      </w:pPr>
      <w:r>
        <w:rPr>
          <w:color w:val="000000"/>
        </w:rPr>
        <w:t xml:space="preserve">iii. The first groundwater zone is defined in this guide as an                  Unlimited (Class II) groundwater resource if it meets the                  following criteria: </w:t>
      </w:r>
    </w:p>
    <w:p>
      <w:pPr>
        <w:pStyle w:val="Normal"/>
        <w:widowControl/>
        <w:tabs>
          <w:tab w:val="left" w:pos="720" w:leader="none"/>
          <w:tab w:val="left" w:pos="144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jc w:val="both"/>
        <w:rPr>
          <w:color w:val="000000"/>
          <w:sz w:val="24"/>
        </w:rPr>
      </w:pPr>
      <w:r>
        <w:rPr>
          <w:color w:val="000000"/>
          <w:sz w:val="24"/>
        </w:rPr>
      </w:r>
    </w:p>
    <w:p>
      <w:pPr>
        <w:pStyle w:val="Normal"/>
        <w:widowControl/>
        <w:tabs>
          <w:tab w:val="left" w:pos="720" w:leader="none"/>
          <w:tab w:val="left" w:pos="1440" w:leader="none"/>
          <w:tab w:val="left" w:pos="2520" w:leader="none"/>
          <w:tab w:val="left" w:pos="288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2880" w:end="0"/>
        <w:jc w:val="both"/>
        <w:rPr/>
      </w:pPr>
      <w:r>
        <w:rPr>
          <w:color w:val="000000"/>
          <w:sz w:val="24"/>
        </w:rPr>
        <w:t>(</w:t>
      </w:r>
      <w:r>
        <w:rPr>
          <w:i/>
          <w:color w:val="000000"/>
          <w:sz w:val="24"/>
        </w:rPr>
        <w:t>a</w:t>
      </w:r>
      <w:r>
        <w:rPr>
          <w:color w:val="000000"/>
          <w:sz w:val="24"/>
        </w:rPr>
        <w:t>) The groundwater zone within ½ mile radius of the delineated edge of the condensate release is capable of yielding water with less than 10,000 mg/kg TDS; or</w:t>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rPr>
      </w:pPr>
      <w:r>
        <w:rPr>
          <w:color w:val="000000"/>
          <w:sz w:val="24"/>
        </w:rPr>
      </w:r>
    </w:p>
    <w:p>
      <w:pPr>
        <w:pStyle w:val="Normal"/>
        <w:widowControl/>
        <w:tabs>
          <w:tab w:val="clear" w:pos="720"/>
          <w:tab w:val="left" w:pos="108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880" w:end="0"/>
        <w:jc w:val="both"/>
        <w:rPr/>
      </w:pPr>
      <w:r>
        <w:rPr>
          <w:color w:val="000000"/>
          <w:sz w:val="24"/>
        </w:rPr>
        <w:t>(</w:t>
      </w:r>
      <w:r>
        <w:rPr>
          <w:i/>
          <w:color w:val="000000"/>
          <w:sz w:val="24"/>
        </w:rPr>
        <w:t>b</w:t>
      </w:r>
      <w:r>
        <w:rPr>
          <w:color w:val="000000"/>
          <w:sz w:val="24"/>
        </w:rPr>
        <w:t>) The groundwater zone within ½ mile radius of the delineated edge of the condensate release is being used for any human or ecological purpose.</w:t>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sz w:val="24"/>
        </w:rPr>
      </w:pPr>
      <w:r>
        <w:rPr>
          <w:color w:val="000000"/>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color w:val="000000"/>
        </w:rPr>
      </w:pPr>
      <w:r>
        <w:rPr>
          <w:color w:val="000000"/>
        </w:rPr>
        <w:t xml:space="preserve">iv. The first groundwater zone is defined in this guide as an unlimited       (Class I) groundwater resource if it meets the following criteria: </w:t>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color w:val="000000"/>
        </w:rPr>
      </w:pPr>
      <w:r>
        <w:rPr>
          <w:color w:val="000000"/>
        </w:rPr>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2160" w:end="0"/>
        <w:rPr/>
      </w:pPr>
      <w:r>
        <w:rPr>
          <w:color w:val="000000"/>
        </w:rPr>
        <w:t>(</w:t>
      </w:r>
      <w:r>
        <w:rPr>
          <w:i/>
          <w:color w:val="000000"/>
        </w:rPr>
        <w:t>a</w:t>
      </w:r>
      <w:r>
        <w:rPr>
          <w:color w:val="000000"/>
        </w:rPr>
        <w:t xml:space="preserve">) There is a public water supply well located within ½ mile </w:t>
        <w:tab/>
        <w:t xml:space="preserve">radius of the delineated edge of the condensate release that is </w:t>
        <w:tab/>
        <w:t>screened at any depth;  or</w:t>
      </w:r>
    </w:p>
    <w:p>
      <w:pPr>
        <w:pStyle w:val="Normal"/>
        <w:widowControl/>
        <w:tabs>
          <w:tab w:val="clear" w:pos="720"/>
          <w:tab w:val="left" w:pos="324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jc w:val="both"/>
        <w:rPr>
          <w:color w:val="000000"/>
          <w:sz w:val="24"/>
        </w:rPr>
      </w:pPr>
      <w:r>
        <w:rPr>
          <w:color w:val="000000"/>
          <w:sz w:val="24"/>
        </w:rPr>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880" w:end="0"/>
        <w:rPr/>
      </w:pPr>
      <w:r>
        <w:rPr/>
        <w:t>(</w:t>
      </w:r>
      <w:r>
        <w:rPr>
          <w:i/>
        </w:rPr>
        <w:t>b</w:t>
      </w:r>
      <w:r>
        <w:rPr/>
        <w:t>) The groundwater zone within ½ mile radius of the delineated edge of the condensate release is the only reliable source of groundwater that is less than 800 feet below the ground surface and is capable of yielding greater than 5,000 gallons per day of water with less than 1000 mg/kg TDS; or</w:t>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2160" w:end="0"/>
        <w:rPr/>
      </w:pPr>
      <w:r>
        <w:rPr/>
        <w:t xml:space="preserve"> </w:t>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880" w:end="0"/>
        <w:rPr/>
      </w:pPr>
      <w:r>
        <w:rPr/>
        <w:t>(</w:t>
      </w:r>
      <w:r>
        <w:rPr>
          <w:i/>
        </w:rPr>
        <w:t>c</w:t>
      </w:r>
      <w:r>
        <w:rPr/>
        <w:t>) The groundwater zone within ½ mile radius of the delineated edge of the condensate release is capable of yielding greater than 144,000 gallons per day of water with less than 3,000 mg/kg TDS that meets primary drinking water standards.</w:t>
      </w:r>
    </w:p>
    <w:p>
      <w:pPr>
        <w:pStyle w:val="BodyTextIndent"/>
        <w:widowControl/>
        <w:tabs>
          <w:tab w:val="clear" w:pos="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2160" w:end="0"/>
        <w:rPr/>
      </w:pPr>
      <w:r>
        <w:rPr/>
      </w:r>
    </w:p>
    <w:p>
      <w:pPr>
        <w:sectPr>
          <w:footerReference w:type="default" r:id="rId5"/>
          <w:type w:val="nextPage"/>
          <w:pgSz w:w="12240" w:h="15840"/>
          <w:pgMar w:left="1800" w:right="1800" w:gutter="0" w:header="0" w:top="1440" w:footer="1440" w:bottom="1496"/>
          <w:pgNumType w:fmt="decimal"/>
          <w:formProt w:val="false"/>
          <w:textDirection w:val="lrTb"/>
          <w:docGrid w:type="default" w:linePitch="360" w:charSpace="0"/>
        </w:sectPr>
      </w:pP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rPr>
          <w:color w:val="000000"/>
        </w:rPr>
      </w:pPr>
      <w:r>
        <w:rPr>
          <w:color w:val="000000"/>
        </w:rPr>
        <w:t xml:space="preserve">v. For Unlimited (Class I or Class II) groundwater resources, determine whether there is a need for, and if so, whether the operator/responsible person installed monitor well(s) and conducted groundwater sampling.  </w:t>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end="0"/>
        <w:rPr>
          <w:color w:val="000000"/>
        </w:rPr>
      </w:pPr>
      <w:r>
        <w:rPr>
          <w:color w:val="000000"/>
        </w:rPr>
      </w:r>
    </w:p>
    <w:p>
      <w:pPr>
        <w:pStyle w:val="Normal"/>
        <w:widowControl/>
        <w:tabs>
          <w:tab w:val="clear" w:pos="720"/>
          <w:tab w:val="left" w:pos="6480" w:leader="none"/>
          <w:tab w:val="left" w:pos="7200" w:leader="none"/>
          <w:tab w:val="left" w:pos="7560" w:leader="none"/>
          <w:tab w:val="left" w:pos="8280" w:leader="none"/>
        </w:tabs>
        <w:ind w:hanging="360" w:start="360" w:end="0"/>
        <w:jc w:val="both"/>
        <w:rPr>
          <w:color w:val="000000"/>
          <w:sz w:val="24"/>
        </w:rPr>
      </w:pPr>
      <w:r>
        <w:rPr>
          <w:color w:val="000000"/>
          <w:sz w:val="24"/>
        </w:rPr>
      </w:r>
    </w:p>
    <w:p>
      <w:pPr>
        <w:pStyle w:val="BodyTextIndent"/>
        <w:widowControl/>
        <w:tabs>
          <w:tab w:val="clear" w:pos="0"/>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end="0"/>
        <w:rPr/>
      </w:pPr>
      <w:r>
        <w:rPr>
          <w:color w:val="000000"/>
        </w:rPr>
        <w:t xml:space="preserve">D. Where impacts to Unlimited (Class I and II) groundwater have been </w:t>
      </w:r>
      <w:r>
        <w:rPr>
          <w:i/>
          <w:color w:val="000000"/>
        </w:rPr>
        <w:t>confirmed</w:t>
      </w:r>
      <w:r>
        <w:rPr>
          <w:color w:val="000000"/>
        </w:rPr>
        <w:t>, determine whether the operator/responsible person used permanent monitor wells to delineate resources to the following limits:</w:t>
      </w:r>
    </w:p>
    <w:p>
      <w:pPr>
        <w:pStyle w:val="Normal"/>
        <w:widowControl/>
        <w:tabs>
          <w:tab w:val="clear" w:pos="720"/>
          <w:tab w:val="left" w:pos="6840" w:leader="none"/>
          <w:tab w:val="left" w:pos="7560" w:leader="none"/>
          <w:tab w:val="left" w:pos="7920" w:leader="none"/>
          <w:tab w:val="left" w:pos="8640" w:leader="none"/>
        </w:tabs>
        <w:ind w:hanging="360" w:start="360" w:end="0"/>
        <w:jc w:val="both"/>
        <w:rPr>
          <w:color w:val="000000"/>
          <w:sz w:val="24"/>
        </w:rPr>
      </w:pPr>
      <w:r>
        <w:rPr>
          <w:color w:val="000000"/>
          <w:sz w:val="24"/>
        </w:rPr>
      </w:r>
    </w:p>
    <w:p>
      <w:pPr>
        <w:pStyle w:val="BodyTextIndent"/>
        <w:widowControl/>
        <w:ind w:hanging="360" w:start="0" w:end="0"/>
        <w:jc w:val="center"/>
        <w:rPr>
          <w:b/>
          <w:color w:val="000000"/>
        </w:rPr>
      </w:pPr>
      <w:r>
        <w:rPr>
          <w:b/>
          <w:color w:val="000000"/>
        </w:rPr>
        <w:t>Groundwater Limit</w:t>
      </w:r>
    </w:p>
    <w:p>
      <w:pPr>
        <w:pStyle w:val="Normal"/>
        <w:widowControl/>
        <w:tabs>
          <w:tab w:val="clear" w:pos="720"/>
          <w:tab w:val="left" w:pos="6840" w:leader="none"/>
          <w:tab w:val="left" w:pos="7560" w:leader="none"/>
          <w:tab w:val="left" w:pos="7920" w:leader="none"/>
          <w:tab w:val="left" w:pos="8640" w:leader="none"/>
        </w:tabs>
        <w:ind w:hanging="360" w:end="0"/>
        <w:jc w:val="center"/>
        <w:rPr>
          <w:b/>
          <w:color w:val="000000"/>
          <w:sz w:val="24"/>
        </w:rPr>
      </w:pPr>
      <w:r>
        <w:rPr>
          <w:b/>
          <w:color w:val="000000"/>
          <w:sz w:val="24"/>
        </w:rPr>
      </w:r>
    </w:p>
    <w:tbl>
      <w:tblPr>
        <w:tblW w:w="7199" w:type="dxa"/>
        <w:jc w:val="start"/>
        <w:tblInd w:w="118" w:type="dxa"/>
        <w:tblLayout w:type="fixed"/>
        <w:tblCellMar>
          <w:top w:w="0" w:type="dxa"/>
          <w:start w:w="118" w:type="dxa"/>
          <w:bottom w:w="0" w:type="dxa"/>
          <w:end w:w="118" w:type="dxa"/>
        </w:tblCellMar>
      </w:tblPr>
      <w:tblGrid>
        <w:gridCol w:w="2085"/>
        <w:gridCol w:w="5114"/>
      </w:tblGrid>
      <w:tr>
        <w:trPr/>
        <w:tc>
          <w:tcPr>
            <w:tcW w:w="2085" w:type="dxa"/>
            <w:tcBorders>
              <w:top w:val="single" w:sz="6" w:space="0" w:color="000000"/>
              <w:start w:val="single" w:sz="6" w:space="0" w:color="000000"/>
              <w:bottom w:val="single" w:sz="6" w:space="0" w:color="FFFFFF"/>
              <w:end w:val="single" w:sz="6" w:space="0" w:color="FFFFFF"/>
            </w:tcBorders>
            <w:shd w:fill="000080" w:val="clear"/>
          </w:tcPr>
          <w:p>
            <w:pPr>
              <w:pStyle w:val="Normal"/>
              <w:snapToGrid w:val="false"/>
              <w:spacing w:lineRule="exact" w:line="62"/>
              <w:rPr>
                <w:b/>
                <w:color w:val="000000"/>
                <w:sz w:val="24"/>
              </w:rPr>
            </w:pPr>
            <w:r>
              <w:rPr>
                <w:b/>
                <w:color w:val="000000"/>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b/>
                <w:color w:val="FFFFFF"/>
              </w:rPr>
            </w:pPr>
            <w:r>
              <w:rPr>
                <w:b/>
                <w:color w:val="FFFFFF"/>
              </w:rPr>
              <w:t>Compound</w:t>
            </w:r>
          </w:p>
        </w:tc>
        <w:tc>
          <w:tcPr>
            <w:tcW w:w="5114" w:type="dxa"/>
            <w:tcBorders>
              <w:top w:val="single" w:sz="6" w:space="0" w:color="000000"/>
              <w:start w:val="single" w:sz="6" w:space="0" w:color="000000"/>
              <w:bottom w:val="single" w:sz="6" w:space="0" w:color="FFFFFF"/>
              <w:end w:val="single" w:sz="6" w:space="0" w:color="000000"/>
            </w:tcBorders>
            <w:shd w:fill="000080" w:val="clear"/>
          </w:tcPr>
          <w:p>
            <w:pPr>
              <w:pStyle w:val="Normal"/>
              <w:snapToGrid w:val="false"/>
              <w:spacing w:lineRule="exact" w:line="62"/>
              <w:rPr>
                <w:b/>
                <w:color w:val="FFFFFF"/>
                <w:sz w:val="24"/>
              </w:rPr>
            </w:pPr>
            <w:r>
              <w:rPr>
                <w:b/>
                <w:color w:val="FFFFFF"/>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b/>
                <w:color w:val="FFFFFF"/>
                <w:sz w:val="20"/>
              </w:rPr>
            </w:pPr>
            <w:r>
              <w:rPr>
                <w:b/>
                <w:color w:val="FFFFFF"/>
              </w:rPr>
              <w:t>Maximum Contaminant Level (MCL) mg/l</w:t>
            </w:r>
          </w:p>
        </w:tc>
      </w:tr>
      <w:tr>
        <w:trPr/>
        <w:tc>
          <w:tcPr>
            <w:tcW w:w="2085"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b/>
                <w:color w:val="FFFFFF"/>
                <w:sz w:val="20"/>
              </w:rPr>
            </w:pPr>
            <w:r>
              <w:rPr>
                <w:b/>
                <w:color w:val="FFFFFF"/>
                <w:sz w:val="20"/>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rPr>
            </w:pPr>
            <w:r>
              <w:rPr>
                <w:color w:val="000000"/>
              </w:rPr>
              <w:t>TPH</w:t>
            </w:r>
          </w:p>
        </w:tc>
        <w:tc>
          <w:tcPr>
            <w:tcW w:w="5114"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sz w:val="20"/>
              </w:rPr>
            </w:pPr>
            <w:r>
              <w:rPr>
                <w:color w:val="000000"/>
              </w:rPr>
              <w:t>1.1*</w:t>
            </w:r>
          </w:p>
        </w:tc>
      </w:tr>
      <w:tr>
        <w:trPr/>
        <w:tc>
          <w:tcPr>
            <w:tcW w:w="2085"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0"/>
              </w:rPr>
            </w:pPr>
            <w:r>
              <w:rPr>
                <w:color w:val="000000"/>
                <w:sz w:val="20"/>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rPr>
            </w:pPr>
            <w:r>
              <w:rPr>
                <w:color w:val="000000"/>
              </w:rPr>
              <w:t>Benzene</w:t>
            </w:r>
          </w:p>
        </w:tc>
        <w:tc>
          <w:tcPr>
            <w:tcW w:w="5114"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sz w:val="20"/>
              </w:rPr>
            </w:pPr>
            <w:r>
              <w:rPr>
                <w:color w:val="000000"/>
              </w:rPr>
              <w:t>0.005</w:t>
            </w:r>
          </w:p>
        </w:tc>
      </w:tr>
      <w:tr>
        <w:trPr/>
        <w:tc>
          <w:tcPr>
            <w:tcW w:w="2085"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0"/>
              </w:rPr>
            </w:pPr>
            <w:r>
              <w:rPr>
                <w:color w:val="000000"/>
                <w:sz w:val="20"/>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rPr>
            </w:pPr>
            <w:r>
              <w:rPr>
                <w:color w:val="000000"/>
              </w:rPr>
              <w:t>Toluene</w:t>
            </w:r>
          </w:p>
        </w:tc>
        <w:tc>
          <w:tcPr>
            <w:tcW w:w="5114"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sz w:val="20"/>
              </w:rPr>
            </w:pPr>
            <w:r>
              <w:rPr>
                <w:color w:val="000000"/>
              </w:rPr>
              <w:t>1.0</w:t>
            </w:r>
          </w:p>
        </w:tc>
      </w:tr>
      <w:tr>
        <w:trPr/>
        <w:tc>
          <w:tcPr>
            <w:tcW w:w="2085"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2"/>
              <w:rPr>
                <w:color w:val="000000"/>
                <w:sz w:val="20"/>
              </w:rPr>
            </w:pPr>
            <w:r>
              <w:rPr>
                <w:color w:val="000000"/>
                <w:sz w:val="20"/>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rPr>
            </w:pPr>
            <w:r>
              <w:rPr>
                <w:color w:val="000000"/>
              </w:rPr>
              <w:t>Ethyl benzene</w:t>
            </w:r>
          </w:p>
        </w:tc>
        <w:tc>
          <w:tcPr>
            <w:tcW w:w="5114"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62"/>
              <w:rPr>
                <w:color w:val="000000"/>
                <w:sz w:val="24"/>
              </w:rPr>
            </w:pPr>
            <w:r>
              <w:rPr>
                <w:color w:val="000000"/>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50" w:start="0" w:end="0"/>
              <w:jc w:val="center"/>
              <w:rPr>
                <w:color w:val="000000"/>
                <w:sz w:val="20"/>
              </w:rPr>
            </w:pPr>
            <w:r>
              <w:rPr>
                <w:color w:val="000000"/>
              </w:rPr>
              <w:t>0.7</w:t>
            </w:r>
          </w:p>
        </w:tc>
      </w:tr>
      <w:tr>
        <w:trPr>
          <w:trHeight w:val="375" w:hRule="exact"/>
        </w:trPr>
        <w:tc>
          <w:tcPr>
            <w:tcW w:w="2085"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2"/>
              <w:rPr>
                <w:color w:val="000000"/>
                <w:sz w:val="20"/>
              </w:rPr>
            </w:pPr>
            <w:r>
              <w:rPr>
                <w:color w:val="000000"/>
                <w:sz w:val="20"/>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ind w:firstLine="450" w:start="0" w:end="0"/>
              <w:jc w:val="center"/>
              <w:rPr>
                <w:color w:val="000000"/>
              </w:rPr>
            </w:pPr>
            <w:r>
              <w:rPr>
                <w:color w:val="000000"/>
              </w:rPr>
              <w:t>Xylenes</w:t>
            </w:r>
          </w:p>
        </w:tc>
        <w:tc>
          <w:tcPr>
            <w:tcW w:w="511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62"/>
              <w:rPr>
                <w:color w:val="000000"/>
                <w:sz w:val="24"/>
              </w:rPr>
            </w:pPr>
            <w:r>
              <w:rPr>
                <w:color w:val="000000"/>
                <w:sz w:val="24"/>
              </w:rPr>
            </w:r>
          </w:p>
          <w:p>
            <w:pPr>
              <w:pStyle w:val="BodyTextIndent"/>
              <w:widowControl/>
              <w:tabs>
                <w:tab w:val="clear" w:pos="720"/>
                <w:tab w:val="clear" w:pos="1800"/>
                <w:tab w:val="clear" w:pos="2520"/>
                <w:tab w:val="clear" w:pos="3240"/>
                <w:tab w:val="clear" w:pos="3960"/>
                <w:tab w:val="clear" w:pos="4680"/>
                <w:tab w:val="clear" w:pos="5400"/>
                <w:tab w:val="clear" w:pos="6120"/>
                <w:tab w:val="clear" w:pos="6840"/>
                <w:tab w:val="clear" w:pos="7560"/>
                <w:tab w:val="clear" w:pos="828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4"/>
              <w:ind w:firstLine="450" w:start="0" w:end="0"/>
              <w:jc w:val="center"/>
              <w:rPr>
                <w:color w:val="000000"/>
              </w:rPr>
            </w:pPr>
            <w:r>
              <w:rPr>
                <w:color w:val="000000"/>
              </w:rPr>
              <w:t>10.0</w:t>
            </w:r>
          </w:p>
        </w:tc>
      </w:tr>
    </w:tbl>
    <w:p>
      <w:pPr>
        <w:pStyle w:val="Normal"/>
        <w:widowControl/>
        <w:tabs>
          <w:tab w:val="clear" w:pos="720"/>
          <w:tab w:val="left" w:pos="7200" w:leader="none"/>
          <w:tab w:val="left" w:pos="7920" w:leader="none"/>
          <w:tab w:val="left" w:pos="8280" w:leader="none"/>
        </w:tabs>
        <w:ind w:firstLine="450" w:end="0"/>
        <w:jc w:val="center"/>
        <w:rPr>
          <w:color w:val="000000"/>
          <w:sz w:val="24"/>
        </w:rPr>
      </w:pPr>
      <w:r>
        <w:rPr>
          <w:color w:val="000000"/>
          <w:sz w:val="24"/>
        </w:rPr>
        <w:t>*  Not a maximum contaminant level</w:t>
      </w:r>
    </w:p>
    <w:p>
      <w:pPr>
        <w:pStyle w:val="Normal"/>
        <w:widowControl/>
        <w:tabs>
          <w:tab w:val="clear" w:pos="720"/>
          <w:tab w:val="left" w:pos="7200" w:leader="none"/>
          <w:tab w:val="left" w:pos="7920" w:leader="none"/>
          <w:tab w:val="left" w:pos="8280" w:leader="none"/>
        </w:tabs>
        <w:ind w:firstLine="450" w:end="0"/>
        <w:jc w:val="center"/>
        <w:rPr>
          <w:color w:val="000000"/>
          <w:sz w:val="24"/>
        </w:rPr>
      </w:pPr>
      <w:r>
        <w:rPr>
          <w:color w:val="000000"/>
          <w:sz w:val="24"/>
        </w:rPr>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t>E. Where impact to Limited (Class III) groundwater resources have been confirmed, has the    operator/responsible person delineated to limits that are 100 times the (Class I and II) limits listed above.</w:t>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t>F. For all condensate releases, has the operator/responsible person provided the following      documentation:</w:t>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numPr>
          <w:ilvl w:val="0"/>
          <w:numId w:val="2"/>
        </w:numPr>
        <w:tabs>
          <w:tab w:val="clear" w:pos="720"/>
          <w:tab w:val="left" w:pos="7200" w:leader="none"/>
          <w:tab w:val="left" w:pos="7920" w:leader="none"/>
          <w:tab w:val="left" w:pos="8280" w:leader="none"/>
        </w:tabs>
        <w:jc w:val="both"/>
        <w:rPr>
          <w:color w:val="000000"/>
          <w:sz w:val="24"/>
        </w:rPr>
      </w:pPr>
      <w:r>
        <w:rPr>
          <w:color w:val="000000"/>
          <w:sz w:val="24"/>
        </w:rPr>
        <w:t>A summary of the events related to the immediate or emergency activities that took place following discovery of the release, including the total volume of condensate released and recovered.</w:t>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numPr>
          <w:ilvl w:val="0"/>
          <w:numId w:val="2"/>
        </w:numPr>
        <w:tabs>
          <w:tab w:val="clear" w:pos="720"/>
          <w:tab w:val="left" w:pos="7200" w:leader="none"/>
          <w:tab w:val="left" w:pos="7920" w:leader="none"/>
          <w:tab w:val="left" w:pos="8280" w:leader="none"/>
        </w:tabs>
        <w:jc w:val="both"/>
        <w:rPr>
          <w:color w:val="000000"/>
          <w:sz w:val="24"/>
        </w:rPr>
      </w:pPr>
      <w:r>
        <w:rPr>
          <w:color w:val="000000"/>
          <w:sz w:val="24"/>
        </w:rPr>
        <w:t>A description of the released condensate, including the API gravity (if                         available) and any additional condensate properties. Gas chromatographs may be useful for this purpose.</w:t>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numPr>
          <w:ilvl w:val="0"/>
          <w:numId w:val="2"/>
        </w:numPr>
        <w:tabs>
          <w:tab w:val="clear" w:pos="720"/>
          <w:tab w:val="left" w:pos="7200" w:leader="none"/>
          <w:tab w:val="left" w:pos="7920" w:leader="none"/>
          <w:tab w:val="left" w:pos="8280" w:leader="none"/>
        </w:tabs>
        <w:jc w:val="both"/>
        <w:rPr>
          <w:color w:val="000000"/>
          <w:sz w:val="24"/>
        </w:rPr>
      </w:pPr>
      <w:r>
        <w:rPr>
          <w:color w:val="000000"/>
          <w:sz w:val="24"/>
        </w:rPr>
        <w:t>A topographic map showing the release location and the proximity of all domestic water supply wells within a ½ mile radius of the delineated edge of the release.</w:t>
      </w:r>
    </w:p>
    <w:p>
      <w:pPr>
        <w:pStyle w:val="Normal"/>
        <w:widowControl/>
        <w:tabs>
          <w:tab w:val="clear" w:pos="720"/>
          <w:tab w:val="left" w:pos="7200" w:leader="none"/>
          <w:tab w:val="left" w:pos="7920" w:leader="none"/>
          <w:tab w:val="left" w:pos="8280" w:leader="none"/>
        </w:tabs>
        <w:jc w:val="both"/>
        <w:rPr>
          <w:color w:val="000000"/>
          <w:sz w:val="24"/>
        </w:rPr>
      </w:pPr>
      <w:r>
        <w:rPr>
          <w:color w:val="000000"/>
          <w:sz w:val="24"/>
        </w:rPr>
      </w:r>
    </w:p>
    <w:p>
      <w:pPr>
        <w:pStyle w:val="Normal"/>
        <w:widowControl/>
        <w:tabs>
          <w:tab w:val="left" w:pos="720" w:leader="none"/>
          <w:tab w:val="left" w:pos="7200" w:leader="none"/>
          <w:tab w:val="left" w:pos="7920" w:leader="none"/>
          <w:tab w:val="left" w:pos="8280" w:leader="none"/>
        </w:tabs>
        <w:jc w:val="both"/>
        <w:rPr>
          <w:color w:val="000000"/>
          <w:sz w:val="24"/>
        </w:rPr>
      </w:pPr>
      <w:r>
        <w:rPr>
          <w:color w:val="000000"/>
          <w:sz w:val="24"/>
        </w:rPr>
      </w:r>
    </w:p>
    <w:p>
      <w:pPr>
        <w:sectPr>
          <w:type w:val="continuous"/>
          <w:pgSz w:w="12240" w:h="15840"/>
          <w:pgMar w:left="1800" w:right="180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t xml:space="preserve">G. In appropriate cases, consider requesting the following additional documentation: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color w:val="000000"/>
          <w:sz w:val="24"/>
        </w:rPr>
      </w:pPr>
      <w:r>
        <w:rPr>
          <w:color w:val="000000"/>
          <w:sz w:val="24"/>
        </w:rPr>
        <w:t>1. Analytical data in support of delineation.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color w:val="000000"/>
          <w:sz w:val="24"/>
        </w:rPr>
      </w:pPr>
      <w:r>
        <w:rPr>
          <w:color w:val="000000"/>
          <w:sz w:val="24"/>
        </w:rPr>
      </w:r>
    </w:p>
    <w:p>
      <w:pPr>
        <w:pStyle w:val="BodyTextIndent2"/>
        <w:rPr/>
      </w:pPr>
      <w:r>
        <w:rPr/>
        <w:t xml:space="preserve">2. A remedial investigation report, including total volumes of impacted media </w:t>
      </w:r>
    </w:p>
    <w:p>
      <w:pPr>
        <w:pStyle w:val="BodyTextIndent2"/>
        <w:rPr/>
      </w:pPr>
      <w:r>
        <w:rPr/>
        <w:tab/>
        <w:t xml:space="preserve">     recovered and disposed, soil investigation and verification results and                    groundwater investigation results.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color w:val="000000"/>
          <w:sz w:val="24"/>
        </w:rPr>
      </w:pPr>
      <w:r>
        <w:rPr>
          <w:color w:val="000000"/>
          <w:sz w:val="24"/>
        </w:rPr>
      </w:r>
    </w:p>
    <w:p>
      <w:pPr>
        <w:pStyle w:val="BodyTextIndent2"/>
        <w:rPr/>
      </w:pPr>
      <w:r>
        <w:rPr/>
        <w:t xml:space="preserve">3. An annotated map of the free-phase and dissolved-phase of any groundwater    contaminant plume.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color w:val="000000"/>
          <w:sz w:val="24"/>
        </w:rPr>
      </w:pPr>
      <w:r>
        <w:rPr>
          <w:color w:val="000000"/>
          <w:sz w:val="24"/>
        </w:rPr>
      </w:r>
    </w:p>
    <w:p>
      <w:pPr>
        <w:pStyle w:val="BodyTextIndent2"/>
        <w:rPr/>
      </w:pPr>
      <w:r>
        <w:rPr/>
        <w:t>4. Subsurface soil characterization and/or geologic cross-sections, including      stratigraphy and lithology of the subsurface.</w:t>
      </w:r>
    </w:p>
    <w:sectPr>
      <w:type w:val="continuous"/>
      <w:pgSz w:w="12240" w:h="15840"/>
      <w:pgMar w:left="1800" w:right="180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360" w:end="-360"/>
      <w:rPr>
        <w:sz w:val="24"/>
      </w:rPr>
    </w:pPr>
    <w:r>
      <w:rPr>
        <w:sz w:val="24"/>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487035" cy="177165"/>
              <wp:effectExtent l="0" t="0" r="0" b="0"/>
              <wp:wrapTopAndBottom/>
              <wp:docPr id="1" name="Frame1"/>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of  </w:t>
                          </w:r>
                          <w:r>
                            <w:rPr>
                              <w:sz w:val="24"/>
                            </w:rPr>
                            <w:fldChar w:fldCharType="begin"/>
                          </w:r>
                          <w:r>
                            <w:rPr>
                              <w:sz w:val="24"/>
                            </w:rPr>
                            <w:instrText xml:space="preserve"> NUMPAGES \* ARABIC </w:instrText>
                          </w:r>
                          <w:r>
                            <w:rPr>
                              <w:sz w:val="24"/>
                            </w:rPr>
                            <w:fldChar w:fldCharType="separate"/>
                          </w:r>
                          <w:r>
                            <w:rPr>
                              <w:sz w:val="24"/>
                            </w:rPr>
                            <w:t>6</w:t>
                          </w:r>
                          <w:r>
                            <w:rPr>
                              <w:sz w:val="24"/>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z w:val="24"/>
                      </w:rPr>
                      <w:t xml:space="preserve"> of  </w:t>
                    </w:r>
                    <w:r>
                      <w:rPr>
                        <w:sz w:val="24"/>
                      </w:rPr>
                      <w:fldChar w:fldCharType="begin"/>
                    </w:r>
                    <w:r>
                      <w:rPr>
                        <w:sz w:val="24"/>
                      </w:rPr>
                      <w:instrText xml:space="preserve"> NUMPAGES \* ARABIC </w:instrText>
                    </w:r>
                    <w:r>
                      <w:rPr>
                        <w:sz w:val="24"/>
                      </w:rPr>
                      <w:fldChar w:fldCharType="separate"/>
                    </w:r>
                    <w:r>
                      <w:rPr>
                        <w:sz w:val="24"/>
                      </w:rPr>
                      <w:t>6</w:t>
                    </w:r>
                    <w:r>
                      <w:rP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360" w:end="-360"/>
      <w:rPr>
        <w:sz w:val="24"/>
      </w:rPr>
    </w:pPr>
    <w:r>
      <w:rPr>
        <w:sz w:val="24"/>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7035" cy="177165"/>
              <wp:effectExtent l="0" t="0" r="0" b="0"/>
              <wp:wrapTopAndBottom/>
              <wp:docPr id="2" name="Frame2"/>
              <a:graphic xmlns:a="http://schemas.openxmlformats.org/drawingml/2006/main">
                <a:graphicData uri="http://schemas.microsoft.com/office/word/2010/wordprocessingShape">
                  <wps:wsp>
                    <wps:cNvSpPr txBox="1"/>
                    <wps:spPr>
                      <a:xfrm>
                        <a:off x="0" y="0"/>
                        <a:ext cx="5487035" cy="177165"/>
                      </a:xfrm>
                      <a:prstGeom prst="rect"/>
                      <a:solidFill>
                        <a:srgbClr val="FFFFFF">
                          <a:alpha val="0"/>
                        </a:srgbClr>
                      </a:solidFill>
                    </wps:spPr>
                    <wps:txbx>
                      <w:txbxContent>
                        <w:p>
                          <w:pPr>
                            <w:pStyle w:val="Normal"/>
                            <w:jc w:val="center"/>
                            <w:rPr/>
                          </w:pPr>
                          <w:r>
                            <w:rPr>
                              <w:sz w:val="24"/>
                            </w:rPr>
                            <w:t xml:space="preserve">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z w:val="24"/>
                            </w:rPr>
                            <w:fldChar w:fldCharType="begin"/>
                          </w:r>
                          <w:r>
                            <w:rPr>
                              <w:sz w:val="24"/>
                            </w:rPr>
                            <w:instrText xml:space="preserve"> NUMPAGES \* ARABIC </w:instrText>
                          </w:r>
                          <w:r>
                            <w:rPr>
                              <w:sz w:val="24"/>
                            </w:rPr>
                            <w:fldChar w:fldCharType="separate"/>
                          </w:r>
                          <w:r>
                            <w:rPr>
                              <w:sz w:val="24"/>
                            </w:rPr>
                            <w:t>6</w:t>
                          </w:r>
                          <w:r>
                            <w:rPr>
                              <w:sz w:val="24"/>
                            </w:rPr>
                            <w:fldChar w:fldCharType="end"/>
                          </w:r>
                        </w:p>
                      </w:txbxContent>
                    </wps:txbx>
                    <wps:bodyPr anchor="t" lIns="0" tIns="0" rIns="0" bIns="0">
                      <a:noAutofit/>
                    </wps:bodyPr>
                  </wps:wsp>
                </a:graphicData>
              </a:graphic>
            </wp:anchor>
          </w:drawing>
        </mc:Choice>
        <mc:Fallback>
          <w:pict>
            <v:rect fillcolor="#FFFFFF" style="position:absolute;rotation:-0;width:432.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sz w:val="24"/>
                      </w:rPr>
                      <w:t xml:space="preserve">Page </w:t>
                    </w:r>
                    <w:r>
                      <w:rPr>
                        <w:sz w:val="24"/>
                      </w:rPr>
                      <w:fldChar w:fldCharType="begin"/>
                    </w:r>
                    <w:r>
                      <w:rPr>
                        <w:sz w:val="24"/>
                      </w:rPr>
                      <w:instrText xml:space="preserve"> PAGE </w:instrText>
                    </w:r>
                    <w:r>
                      <w:rPr>
                        <w:sz w:val="24"/>
                      </w:rPr>
                      <w:fldChar w:fldCharType="separate"/>
                    </w:r>
                    <w:r>
                      <w:rPr>
                        <w:sz w:val="24"/>
                      </w:rPr>
                      <w:t>3</w:t>
                    </w:r>
                    <w:r>
                      <w:rPr>
                        <w:sz w:val="24"/>
                      </w:rPr>
                      <w:fldChar w:fldCharType="end"/>
                    </w:r>
                    <w:r>
                      <w:rPr>
                        <w:sz w:val="24"/>
                      </w:rPr>
                      <w:t xml:space="preserve"> of  </w:t>
                    </w:r>
                    <w:r>
                      <w:rPr>
                        <w:sz w:val="24"/>
                      </w:rPr>
                      <w:fldChar w:fldCharType="begin"/>
                    </w:r>
                    <w:r>
                      <w:rPr>
                        <w:sz w:val="24"/>
                      </w:rPr>
                      <w:instrText xml:space="preserve"> NUMPAGES \* ARABIC </w:instrText>
                    </w:r>
                    <w:r>
                      <w:rPr>
                        <w:sz w:val="24"/>
                      </w:rPr>
                      <w:fldChar w:fldCharType="separate"/>
                    </w:r>
                    <w:r>
                      <w:rPr>
                        <w:sz w:val="24"/>
                      </w:rPr>
                      <w:t>6</w:t>
                    </w:r>
                    <w:r>
                      <w:rP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2">
    <w:name w:val="heading 2"/>
    <w:basedOn w:val="Normal"/>
    <w:next w:val="Normal"/>
    <w:qFormat/>
    <w:pPr>
      <w:numPr>
        <w:ilvl w:val="1"/>
        <w:numId w:val="1"/>
      </w:numPr>
      <w:tabs>
        <w:tab w:val="left" w:pos="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start="360" w:end="0"/>
      <w:jc w:val="center"/>
      <w:outlineLvl w:val="1"/>
    </w:pPr>
    <w:rPr>
      <w:b/>
      <w:bCs/>
      <w:sz w:val="24"/>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0" w:start="360" w:end="0"/>
      <w:jc w:val="both"/>
    </w:pPr>
    <w:rPr>
      <w:sz w:val="24"/>
    </w:rPr>
  </w:style>
  <w:style w:type="paragraph" w:styleId="BodyTextIndent2">
    <w:name w:val="Body Text Indent 2"/>
    <w:basedOn w:val="Normal"/>
    <w:qFormat/>
    <w:pPr>
      <w:widowControl/>
      <w:tabs>
        <w:tab w:val="left" w:pos="72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70" w:start="990" w:end="0"/>
      <w:jc w:val="both"/>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2000-05-30T16:45:00Z</dcterms:created>
  <dc:creator>Railroad Commission of Texas</dc:creator>
  <dc:description/>
  <dc:language>en-CA</dc:language>
  <cp:lastModifiedBy>jpeters</cp:lastModifiedBy>
  <cp:lastPrinted>2000-07-27T14:05:00Z</cp:lastPrinted>
  <dcterms:modified xsi:type="dcterms:W3CDTF">2000-07-27T16:36:00Z</dcterms:modified>
  <cp:revision>7</cp:revision>
  <dc:subject/>
  <dc:title>RAILROAD COMMISSION OF TEXAS</dc:title>
</cp:coreProperties>
</file>