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Michelle Cash</w:t>
        <w:tab/>
        <w:tab/>
        <w:tab/>
        <w:tab/>
        <w:tab/>
        <w:tab/>
        <w:tab/>
        <w:tab/>
        <w:t>December 11, 2000</w:t>
      </w:r>
    </w:p>
    <w:p>
      <w:pPr>
        <w:pStyle w:val="Normal"/>
        <w:rPr/>
      </w:pPr>
      <w:r>
        <w:rPr/>
      </w:r>
    </w:p>
    <w:p>
      <w:pPr>
        <w:pStyle w:val="Normal"/>
        <w:rPr/>
      </w:pPr>
      <w:r>
        <w:rPr/>
        <w:t>From:  Patrick Mackin</w:t>
      </w:r>
    </w:p>
    <w:p>
      <w:pPr>
        <w:pStyle w:val="Normal"/>
        <w:rPr/>
      </w:pPr>
      <w:r>
        <w:rPr/>
      </w:r>
    </w:p>
    <w:p>
      <w:pPr>
        <w:pStyle w:val="Normal"/>
        <w:rPr/>
      </w:pPr>
      <w:r>
        <w:rPr/>
        <w:t>Subject:  Excess OASDI Payments and Withholding Issue</w:t>
      </w:r>
    </w:p>
    <w:p>
      <w:pPr>
        <w:pStyle w:val="Normal"/>
        <w:rPr/>
      </w:pPr>
      <w:r>
        <w:rPr/>
      </w:r>
    </w:p>
    <w:p>
      <w:pPr>
        <w:pStyle w:val="Normal"/>
        <w:rPr/>
      </w:pPr>
      <w:r>
        <w:rPr/>
      </w:r>
    </w:p>
    <w:p>
      <w:pPr>
        <w:pStyle w:val="Normal"/>
        <w:rPr/>
      </w:pPr>
      <w:r>
        <w:rPr/>
        <w:t>Michelle, I know just enough about this subject to be dangerous.  In addition to corporate veil issues, there can be some “leased employee” issues if the company to who the employees are leased is able to direct the work of the leased employees and the leased employees remain on assignment for more than 1,500 hours in any subsequent 12 month period.  It only becomes a problem when the company providing the leased employees provides different employee benefits than the company to who the leased employees are furnished.  If both employers participate in the Enron Corp. sponsored employee benefit plans, there should be no problem with leased employee issues with respect to employee benefit plan.</w:t>
      </w:r>
    </w:p>
    <w:p>
      <w:pPr>
        <w:pStyle w:val="Normal"/>
        <w:rPr/>
      </w:pPr>
      <w:r>
        <w:rPr/>
      </w:r>
    </w:p>
    <w:p>
      <w:pPr>
        <w:pStyle w:val="Normal"/>
        <w:rPr/>
      </w:pPr>
      <w:r>
        <w:rPr/>
        <w:t xml:space="preserve">I don’t know how broad the practice is, but I have an understanding that some employees who are transferred from an Enron US employer to another Enron US employer during the year, remain on the first employers payroll until the end of the year, as one way to solve this problem.  To the extent that this happens, it would seem that the corporate veil issue already exists. </w:t>
      </w:r>
    </w:p>
    <w:p>
      <w:pPr>
        <w:pStyle w:val="Normal"/>
        <w:rPr/>
      </w:pPr>
      <w:r>
        <w:rPr/>
      </w:r>
    </w:p>
    <w:p>
      <w:pPr>
        <w:pStyle w:val="Normal"/>
        <w:rPr/>
      </w:pPr>
      <w:r>
        <w:rPr/>
        <w:t>The following primer on FICA tax withholding may be of interest, especially the part about a common paymaster.  You may want to run the common paymaster concept by E&amp;Y Tax Services to see if it might be a viable approach for this issue.  Also, instead of using the concept of leased employees, you may want to explore the concept of a  management services agreement whereby the otherwise leased employees would remain under the direction and control of first Enron employer that has contracted to provide management or other services to another Enron employer.  I am under the impression that these kinds of arrangements exist at Enron and properly drafted and administered, reduce the concern about piercing the corporate veil.</w:t>
      </w:r>
    </w:p>
    <w:p>
      <w:pPr>
        <w:pStyle w:val="Normal"/>
        <w:rPr/>
      </w:pPr>
      <w:r>
        <w:rPr/>
      </w:r>
    </w:p>
    <w:p>
      <w:pPr>
        <w:pStyle w:val="Normal"/>
        <w:rPr/>
      </w:pPr>
      <w:r>
        <w:rPr/>
      </w:r>
    </w:p>
    <w:p>
      <w:pPr>
        <w:pStyle w:val="Heading1"/>
        <w:ind w:hanging="0" w:start="0"/>
        <w:rPr/>
      </w:pPr>
      <w:r>
        <w:rPr/>
        <w:t>General Rule</w:t>
      </w:r>
    </w:p>
    <w:p>
      <w:pPr>
        <w:pStyle w:val="Normal"/>
        <w:rPr/>
      </w:pPr>
      <w:r>
        <w:rPr/>
      </w:r>
    </w:p>
    <w:p>
      <w:pPr>
        <w:pStyle w:val="Normal"/>
        <w:rPr/>
      </w:pPr>
      <w:r>
        <w:rPr/>
        <w:t>For employees who work for more than one employer during a calendar year, the taxable wage base  applies to each employer. This rule applies to FUTA  taxes as well (see “Federal Unemployment Tax Act,”  below). The two exceptions to this requirement are for successor employers and related corporations using a common paymaster.</w:t>
      </w:r>
    </w:p>
    <w:p>
      <w:pPr>
        <w:pStyle w:val="Normal"/>
        <w:rPr/>
      </w:pPr>
      <w:r>
        <w:rPr/>
      </w:r>
    </w:p>
    <w:p>
      <w:pPr>
        <w:pStyle w:val="Normal"/>
        <w:rPr/>
      </w:pPr>
      <w:r>
        <w:rPr/>
      </w:r>
    </w:p>
    <w:p>
      <w:pPr>
        <w:pStyle w:val="Heading1"/>
        <w:ind w:hanging="0" w:start="0"/>
        <w:rPr/>
      </w:pPr>
      <w:r>
        <w:rPr/>
        <w:t xml:space="preserve">Successor Employers </w:t>
      </w:r>
    </w:p>
    <w:p>
      <w:pPr>
        <w:pStyle w:val="Normal"/>
        <w:rPr/>
      </w:pPr>
      <w:r>
        <w:rPr/>
      </w:r>
    </w:p>
    <w:p>
      <w:pPr>
        <w:pStyle w:val="Normal"/>
        <w:rPr/>
      </w:pPr>
      <w:r>
        <w:rPr/>
        <w:t>Employers who qualify as “successor employers” can take credit for wages paid by the predecessor  employer for purposes of satisfying the FICA wage  base. However, this rule applies only to those employees who continue in employment with the successor. A successor employer is one who acquires substantially all of the property used by another employer in its trade or business and immediately thereafter employs one or more individuals who had  been employed by the predecessor just prior to the acquisition.</w:t>
      </w:r>
    </w:p>
    <w:p>
      <w:pPr>
        <w:pStyle w:val="Normal"/>
        <w:rPr/>
      </w:pPr>
      <w:r>
        <w:rPr/>
      </w:r>
    </w:p>
    <w:p>
      <w:pPr>
        <w:pStyle w:val="Normal"/>
        <w:rPr/>
      </w:pPr>
      <w:r>
        <w:rPr/>
      </w:r>
    </w:p>
    <w:p>
      <w:pPr>
        <w:pStyle w:val="Normal"/>
        <w:rPr/>
      </w:pPr>
      <w:r>
        <w:rPr/>
        <w:t>Concurrent Employment; Common Paymaster</w:t>
      </w:r>
    </w:p>
    <w:p>
      <w:pPr>
        <w:pStyle w:val="Normal"/>
        <w:rPr/>
      </w:pPr>
      <w:r>
        <w:rPr/>
      </w:r>
    </w:p>
    <w:p>
      <w:pPr>
        <w:pStyle w:val="Normal"/>
        <w:rPr/>
      </w:pPr>
      <w:r>
        <w:rPr/>
        <w:t>When two or more related corporations concurrently employ the same individual during a calendar quarter and compensate that individual through a common paymaster which is one of the employing corporations, each corporation is considered to have paid only the remuneration actually paid by it to the employee, but the total amount of the employee and employer tax is determined as though the individual had only one employer.  §§3121(s) and 3306(p); Regs. §§31.3121(s)-1(a) and 31.3306(p)-1(a).</w:t>
      </w:r>
    </w:p>
    <w:p>
      <w:pPr>
        <w:pStyle w:val="Normal"/>
        <w:rPr/>
      </w:pPr>
      <w:r>
        <w:rPr/>
        <w:t xml:space="preserve"> </w:t>
      </w:r>
    </w:p>
    <w:p>
      <w:pPr>
        <w:pStyle w:val="Normal"/>
        <w:rPr/>
      </w:pPr>
      <w:r>
        <w:rPr/>
        <w:t>Thus, FICA and FUTA taxes are paid only on the aggregate wages of all related employers up to the taxable wage base. If the related corporations do not compensate their common employees through a common paymaster, the employee is treated as being employed by separate employers.</w:t>
      </w:r>
    </w:p>
    <w:p>
      <w:pPr>
        <w:pStyle w:val="Normal"/>
        <w:rPr/>
      </w:pPr>
      <w:r>
        <w:rPr/>
      </w:r>
    </w:p>
    <w:p>
      <w:pPr>
        <w:pStyle w:val="Normal"/>
        <w:rPr/>
      </w:pPr>
      <w:r>
        <w:rPr/>
        <w:t>For these purposes, corporations are considered related for an entire calendar quarter if at any time during such quarter:</w:t>
      </w:r>
    </w:p>
    <w:p>
      <w:pPr>
        <w:pStyle w:val="Normal"/>
        <w:rPr/>
      </w:pPr>
      <w:r>
        <w:rPr/>
      </w:r>
    </w:p>
    <w:p>
      <w:pPr>
        <w:pStyle w:val="BodyTextIndent"/>
        <w:rPr/>
      </w:pPr>
      <w:r>
        <w:rPr/>
        <w:t xml:space="preserve">• </w:t>
      </w:r>
      <w:r>
        <w:rPr/>
        <w:t>they are members of a "controlled group of corporations" as defined in §1563 (without regard to subparagraphs (a)(4) and (b)) if the 80% or more voting-power test is replaced by a "more than 50%" test;</w:t>
      </w:r>
    </w:p>
    <w:p>
      <w:pPr>
        <w:pStyle w:val="Normal"/>
        <w:ind w:start="720" w:end="0"/>
        <w:rPr/>
      </w:pPr>
      <w:r>
        <w:rPr/>
      </w:r>
    </w:p>
    <w:p>
      <w:pPr>
        <w:pStyle w:val="Normal"/>
        <w:ind w:start="720" w:end="0"/>
        <w:rPr/>
      </w:pPr>
      <w:r>
        <w:rPr/>
        <w:t xml:space="preserve">• </w:t>
      </w:r>
      <w:r>
        <w:rPr/>
        <w:t>50% or more of one corporation's officers are also officers of the other;</w:t>
      </w:r>
    </w:p>
    <w:p>
      <w:pPr>
        <w:pStyle w:val="Normal"/>
        <w:ind w:start="720" w:end="0"/>
        <w:rPr/>
      </w:pPr>
      <w:r>
        <w:rPr/>
      </w:r>
    </w:p>
    <w:p>
      <w:pPr>
        <w:pStyle w:val="Normal"/>
        <w:ind w:start="720" w:end="0"/>
        <w:rPr/>
      </w:pPr>
      <w:r>
        <w:rPr/>
        <w:t xml:space="preserve">• </w:t>
      </w:r>
      <w:r>
        <w:rPr/>
        <w:t>30% or more of one corporation's employees are also employees of the other; or</w:t>
      </w:r>
    </w:p>
    <w:p>
      <w:pPr>
        <w:pStyle w:val="Normal"/>
        <w:ind w:start="720" w:end="0"/>
        <w:rPr/>
      </w:pPr>
      <w:r>
        <w:rPr/>
      </w:r>
    </w:p>
    <w:p>
      <w:pPr>
        <w:pStyle w:val="Normal"/>
        <w:ind w:start="720" w:end="0"/>
        <w:rPr/>
      </w:pPr>
      <w:r>
        <w:rPr/>
        <w:t xml:space="preserve">• </w:t>
      </w:r>
      <w:r>
        <w:rPr/>
        <w:t>in the case of a corporation that does not issue stock, either 50% or more of the directors of one corporation are also directors of the other, or the holders of 50% or more of the voting power to select the directors is concurrently held by the same individuals or entities.  Regs. §31.3121(s)-1(b)(1).</w:t>
      </w:r>
    </w:p>
    <w:p>
      <w:pPr>
        <w:pStyle w:val="Normal"/>
        <w:rPr/>
      </w:pPr>
      <w:r>
        <w:rPr/>
      </w:r>
    </w:p>
    <w:p>
      <w:pPr>
        <w:pStyle w:val="Normal"/>
        <w:rPr/>
      </w:pPr>
      <w:r>
        <w:rPr/>
      </w:r>
    </w:p>
    <w:p>
      <w:pPr>
        <w:pStyle w:val="Normal"/>
        <w:rPr/>
      </w:pPr>
      <w:r>
        <w:rPr/>
        <w:t xml:space="preserve">Example 1: </w:t>
      </w:r>
    </w:p>
    <w:p>
      <w:pPr>
        <w:pStyle w:val="Normal"/>
        <w:rPr/>
      </w:pPr>
      <w:r>
        <w:rPr/>
      </w:r>
    </w:p>
    <w:p>
      <w:pPr>
        <w:pStyle w:val="Normal"/>
        <w:ind w:start="720" w:end="0"/>
        <w:rPr/>
      </w:pPr>
      <w:r>
        <w:rPr/>
        <w:t>X Corp. employs individuals A, B, D, E, F, G and H. Y Corp. employs individuals A, B and C. Z Corp. employs individuals A, C, I, J, K, L and M. X Corp. is the common paymaster for all 13 individuals. The corporations have no officers or stockholders in common.</w:t>
      </w:r>
    </w:p>
    <w:p>
      <w:pPr>
        <w:pStyle w:val="Normal"/>
        <w:ind w:start="720" w:end="0"/>
        <w:rPr/>
      </w:pPr>
      <w:r>
        <w:rPr/>
      </w:r>
    </w:p>
    <w:p>
      <w:pPr>
        <w:pStyle w:val="Normal"/>
        <w:ind w:start="720" w:end="0"/>
        <w:rPr/>
      </w:pPr>
      <w:r>
        <w:rPr/>
        <w:t>X and Y are related corporations because at least 30% of Y's employees are also employees of X. Y and Z are related corporations because at least 30% of Y's employees are also employees of Z. X and Z are not related corporations because neither corporation has 30% of its employees concurrently employed by the other corporation.</w:t>
      </w:r>
    </w:p>
    <w:p>
      <w:pPr>
        <w:pStyle w:val="Normal"/>
        <w:ind w:start="720" w:end="0"/>
        <w:rPr/>
      </w:pPr>
      <w:r>
        <w:rPr/>
      </w:r>
    </w:p>
    <w:p>
      <w:pPr>
        <w:pStyle w:val="Normal"/>
        <w:ind w:start="720" w:end="0"/>
        <w:rPr/>
      </w:pPr>
      <w:r>
        <w:rPr/>
        <w:t>For purposes of determining the amount of the tax liability under §3101, §3111 and §3301, B is treated as having one employer. C has two employers for these purposes, even though Y and Z are related corporations, because C is not employed by X, the common paymaster. A is also treated as having two employers because X and Y are treated as one employer, and Z is treated as a second employer (since it is not related to the common paymaster, X). D, E, F, G, H, I, J, K, L and M are not concurrently employed by two or more corporations and, accordingly, §3121(s) and §3306(p) do not apply to them.</w:t>
      </w:r>
    </w:p>
    <w:p>
      <w:pPr>
        <w:pStyle w:val="Normal"/>
        <w:rPr/>
      </w:pPr>
      <w:r>
        <w:rPr/>
      </w:r>
    </w:p>
    <w:p>
      <w:pPr>
        <w:pStyle w:val="Normal"/>
        <w:rPr/>
      </w:pPr>
      <w:r>
        <w:rPr/>
        <w:t xml:space="preserve">Example 2: </w:t>
      </w:r>
    </w:p>
    <w:p>
      <w:pPr>
        <w:pStyle w:val="Normal"/>
        <w:rPr/>
      </w:pPr>
      <w:r>
        <w:rPr/>
      </w:r>
    </w:p>
    <w:p>
      <w:pPr>
        <w:pStyle w:val="Normal"/>
        <w:ind w:start="720" w:end="0"/>
        <w:rPr/>
      </w:pPr>
      <w:r>
        <w:rPr/>
        <w:t>M and N Corps. are both related to Corp. O, but are not related to each other. R is concurrently employed by all three corporations and paid by O, the common paymaster. Although M and N are not related, O is treated as the employer for R's employment with M, N and O.</w:t>
      </w:r>
    </w:p>
    <w:p>
      <w:pPr>
        <w:pStyle w:val="Normal"/>
        <w:ind w:start="720" w:end="0"/>
        <w:rPr/>
      </w:pPr>
      <w:r>
        <w:rPr/>
      </w:r>
    </w:p>
    <w:p>
      <w:pPr>
        <w:pStyle w:val="Normal"/>
        <w:ind w:start="720" w:end="0"/>
        <w:rPr/>
      </w:pPr>
      <w:r>
        <w:rPr/>
        <w:t>A common paymaster is defined, for purposes of §3121(s) and §3306(p), as any member of a related group of corporations that disburses remuneration to employees of related corporations and is responsible for keeping books and payroll records with respect to such employees.  Regs. §31.3121(s)-1(b)(2).</w:t>
      </w:r>
    </w:p>
    <w:p>
      <w:pPr>
        <w:pStyle w:val="Normal"/>
        <w:ind w:start="720" w:end="0"/>
        <w:rPr/>
      </w:pPr>
      <w:r>
        <w:rPr/>
        <w:t xml:space="preserve"> </w:t>
      </w:r>
    </w:p>
    <w:p>
      <w:pPr>
        <w:pStyle w:val="Normal"/>
        <w:ind w:start="720" w:end="0"/>
        <w:rPr/>
      </w:pPr>
      <w:r>
        <w:rPr/>
        <w:t>A common paymaster is not required to disburse compensation to all employees of related corporations. However, §3121(s) and §3306(p) only apply to remuneration that is disbursed by a common paymaster to concurrent employees. An individual who is merely authorized to sign checks drawn on separate accounts of related corporations that keep their own payroll records does not qualify as a common paymaster.  Rev. Rul. 81-21, 1981-1 C.B. 482.</w:t>
      </w:r>
    </w:p>
    <w:p>
      <w:pPr>
        <w:pStyle w:val="Normal"/>
        <w:ind w:start="720" w:end="0"/>
        <w:rPr/>
      </w:pPr>
      <w:r>
        <w:rPr/>
      </w:r>
    </w:p>
    <w:p>
      <w:pPr>
        <w:pStyle w:val="Normal"/>
        <w:ind w:start="720" w:end="0"/>
        <w:rPr/>
      </w:pPr>
      <w:r>
        <w:rPr/>
        <w:t xml:space="preserve">Concurrent employment is defined as a contemporaneous employment relationship during any calendar quarter.  Regs. §31.3121(s)-1(b)(3).  The employment relationship must contemplate substantial services being rendered by the employee for the benefit of the employing corporation. An employment relationship does not exist for these purposes if all the rights and obligations with respect to employment have terminated other than those that customarily exist after termination, such as rights to compensation not yet paid, severance pay and deferred compensation benefits. </w:t>
      </w:r>
    </w:p>
    <w:p>
      <w:pPr>
        <w:pStyle w:val="Normal"/>
        <w:rPr/>
      </w:pPr>
      <w:r>
        <w:rPr/>
      </w:r>
    </w:p>
    <w:p>
      <w:pPr>
        <w:pStyle w:val="Normal"/>
        <w:rPr/>
      </w:pPr>
      <w:r>
        <w:rPr/>
        <w:t xml:space="preserve">Example 3: </w:t>
      </w:r>
    </w:p>
    <w:p>
      <w:pPr>
        <w:pStyle w:val="Normal"/>
        <w:rPr/>
      </w:pPr>
      <w:r>
        <w:rPr/>
      </w:r>
    </w:p>
    <w:p>
      <w:pPr>
        <w:pStyle w:val="BodyTextIndent"/>
        <w:rPr/>
      </w:pPr>
      <w:r>
        <w:rPr/>
        <w:t>Corps. X, Y and Z are related corporations during the second and third calendar quarters of 1998. R is concurrently employed by X, Y and Z throughout 1998. In each of the four calendar quarters of 1998, R's remuneration from X, Y and Z is $20,000, $12,000 and $5,000, respectively, and the taxable wage base is $68,400. All of the remuneration paid to R in each quarter is disbursed by Z, the common paymaster. Under these circumstances, the amount of wages subject to OASDI tax is as follows:</w:t>
      </w:r>
    </w:p>
    <w:p>
      <w:pPr>
        <w:pStyle w:val="Normal"/>
        <w:ind w:start="720" w:end="0"/>
        <w:rPr/>
      </w:pPr>
      <w:r>
        <w:rPr/>
      </w:r>
    </w:p>
    <w:p>
      <w:pPr>
        <w:pStyle w:val="Normal"/>
        <w:ind w:start="720" w:end="0"/>
        <w:rPr>
          <w:rFonts w:ascii="Courier New" w:hAnsi="Courier New" w:cs="Courier New"/>
          <w:b/>
          <w:bCs/>
          <w:sz w:val="20"/>
        </w:rPr>
      </w:pPr>
      <w:r>
        <w:rPr>
          <w:rFonts w:eastAsia="Courier New" w:cs="Courier New" w:ascii="Courier New" w:hAnsi="Courier New"/>
          <w:b/>
          <w:bCs/>
          <w:sz w:val="20"/>
        </w:rPr>
        <w:t xml:space="preserve">      </w:t>
      </w:r>
      <w:r>
        <w:rPr>
          <w:rFonts w:cs="Courier New" w:ascii="Courier New" w:hAnsi="Courier New"/>
          <w:b/>
          <w:bCs/>
          <w:sz w:val="20"/>
        </w:rPr>
        <w:t xml:space="preserve">Quarter        X                 Y                 Z       </w:t>
      </w:r>
    </w:p>
    <w:p>
      <w:pPr>
        <w:pStyle w:val="Normal"/>
        <w:ind w:start="720" w:end="0"/>
        <w:rPr>
          <w:rFonts w:ascii="Courier New" w:hAnsi="Courier New" w:cs="Courier New"/>
          <w:b/>
          <w:bCs/>
          <w:sz w:val="20"/>
        </w:rPr>
      </w:pPr>
      <w:r>
        <w:rPr>
          <w:rFonts w:eastAsia="Courier New" w:cs="Courier New" w:ascii="Courier New" w:hAnsi="Courier New"/>
          <w:b/>
          <w:bCs/>
          <w:sz w:val="20"/>
        </w:rPr>
        <w:t xml:space="preserve">         </w:t>
      </w:r>
      <w:r>
        <w:rPr>
          <w:rFonts w:cs="Courier New" w:ascii="Courier New" w:hAnsi="Courier New"/>
          <w:b/>
          <w:bCs/>
          <w:sz w:val="20"/>
        </w:rPr>
        <w:t>1       $20,000           $12,000           $ 5,000</w:t>
      </w:r>
    </w:p>
    <w:p>
      <w:pPr>
        <w:pStyle w:val="Normal"/>
        <w:ind w:start="720" w:end="0"/>
        <w:rPr>
          <w:rFonts w:ascii="Courier New" w:hAnsi="Courier New" w:cs="Courier New"/>
          <w:b/>
          <w:bCs/>
          <w:sz w:val="20"/>
        </w:rPr>
      </w:pPr>
      <w:r>
        <w:rPr>
          <w:rFonts w:eastAsia="Courier New" w:cs="Courier New" w:ascii="Courier New" w:hAnsi="Courier New"/>
          <w:b/>
          <w:bCs/>
          <w:sz w:val="20"/>
        </w:rPr>
        <w:t xml:space="preserve">         </w:t>
      </w:r>
      <w:r>
        <w:rPr>
          <w:rFonts w:cs="Courier New" w:ascii="Courier New" w:hAnsi="Courier New"/>
          <w:b/>
          <w:bCs/>
          <w:sz w:val="20"/>
        </w:rPr>
        <w:t>2           0                 0              37,000</w:t>
      </w:r>
    </w:p>
    <w:p>
      <w:pPr>
        <w:pStyle w:val="Normal"/>
        <w:ind w:start="720" w:end="0"/>
        <w:rPr>
          <w:rFonts w:ascii="Courier New" w:hAnsi="Courier New" w:cs="Courier New"/>
          <w:b/>
          <w:bCs/>
          <w:sz w:val="20"/>
        </w:rPr>
      </w:pPr>
      <w:r>
        <w:rPr>
          <w:rFonts w:eastAsia="Courier New" w:cs="Courier New" w:ascii="Courier New" w:hAnsi="Courier New"/>
          <w:b/>
          <w:bCs/>
          <w:sz w:val="20"/>
        </w:rPr>
        <w:t xml:space="preserve">         </w:t>
      </w:r>
      <w:r>
        <w:rPr>
          <w:rFonts w:cs="Courier New" w:ascii="Courier New" w:hAnsi="Courier New"/>
          <w:b/>
          <w:bCs/>
          <w:sz w:val="20"/>
        </w:rPr>
        <w:t>3           0                 0              26,400</w:t>
      </w:r>
    </w:p>
    <w:p>
      <w:pPr>
        <w:pStyle w:val="Normal"/>
        <w:ind w:start="720" w:end="0"/>
        <w:rPr>
          <w:rFonts w:ascii="Courier New" w:hAnsi="Courier New" w:cs="Courier New"/>
          <w:b/>
          <w:bCs/>
          <w:sz w:val="20"/>
        </w:rPr>
      </w:pPr>
      <w:r>
        <w:rPr>
          <w:rFonts w:eastAsia="Courier New" w:cs="Courier New" w:ascii="Courier New" w:hAnsi="Courier New"/>
          <w:b/>
          <w:bCs/>
          <w:sz w:val="20"/>
        </w:rPr>
        <w:t xml:space="preserve">         </w:t>
      </w:r>
      <w:r>
        <w:rPr>
          <w:rFonts w:cs="Courier New" w:ascii="Courier New" w:hAnsi="Courier New"/>
          <w:b/>
          <w:bCs/>
          <w:sz w:val="20"/>
        </w:rPr>
        <w:t>4        20,000            12,000               0</w:t>
      </w:r>
    </w:p>
    <w:p>
      <w:pPr>
        <w:pStyle w:val="Normal"/>
        <w:ind w:start="720" w:end="0"/>
        <w:rPr>
          <w:rFonts w:ascii="Courier New" w:hAnsi="Courier New" w:cs="Courier New"/>
          <w:b/>
          <w:bCs/>
          <w:sz w:val="20"/>
        </w:rPr>
      </w:pPr>
      <w:r>
        <w:rPr>
          <w:rFonts w:cs="Courier New" w:ascii="Courier New" w:hAnsi="Courier New"/>
          <w:b/>
          <w:bCs/>
          <w:sz w:val="20"/>
        </w:rPr>
      </w:r>
    </w:p>
    <w:p>
      <w:pPr>
        <w:pStyle w:val="Normal"/>
        <w:ind w:start="720" w:end="0"/>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2000-12-11T13:58:00Z</dcterms:created>
  <dc:creator>Mackin</dc:creator>
  <dc:description/>
  <dc:language>en-CA</dc:language>
  <cp:lastModifiedBy>Mackin</cp:lastModifiedBy>
  <dcterms:modified xsi:type="dcterms:W3CDTF">2000-12-11T14:32:00Z</dcterms:modified>
  <cp:revision>3</cp:revision>
  <dc:subject/>
  <dc:title>Concurrent Employment Common Paymaster</dc:title>
</cp:coreProperties>
</file>