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Concept Piece: A Workable Approach to Regional Market Analysis at the FERC</w:t>
      </w:r>
    </w:p>
    <w:p>
      <w:pPr>
        <w:pStyle w:val="Normal"/>
        <w:rPr>
          <w:rFonts w:ascii="Arial" w:hAnsi="Arial" w:cs="Arial"/>
          <w:sz w:val="22"/>
        </w:rPr>
      </w:pPr>
      <w:r>
        <w:rPr>
          <w:rFonts w:cs="Arial" w:ascii="Arial" w:hAnsi="Arial"/>
          <w:sz w:val="22"/>
        </w:rPr>
        <w:t>Jim Turnure, Principal, ICF Consulting</w:t>
      </w:r>
    </w:p>
    <w:p>
      <w:pPr>
        <w:pStyle w:val="Normal"/>
        <w:rPr>
          <w:rFonts w:ascii="Arial" w:hAnsi="Arial" w:cs="Arial"/>
          <w:sz w:val="22"/>
        </w:rPr>
      </w:pPr>
      <w:r>
        <w:rPr>
          <w:rFonts w:cs="Arial" w:ascii="Arial" w:hAnsi="Arial"/>
          <w:sz w:val="22"/>
        </w:rPr>
      </w:r>
    </w:p>
    <w:p>
      <w:pPr>
        <w:pStyle w:val="Heading2"/>
        <w:ind w:hanging="0" w:start="0"/>
        <w:rPr/>
      </w:pPr>
      <w:r>
        <w:rPr/>
        <w:t xml:space="preserve">Background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Federal Energy Regulatory Commission (FERC) is charged under the Federal Power Act with ensuring that rates for wholesale electric power and natural gas are “just and reasonable.”  The move toward more competitive energy markets is based on the premise that competition among suppliers will lead to lower prices and better products and services over time.  Since the late 1970s, the FERC has been moving towards a model of energy market regulation in which wholesale supply is essentially fully competitive, while natural monopoly elements of the energy system—primarily the transportation network—remain subject to some form of rate-of-return regulation.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In recent years much has been learned about the behavior of commodity prices in natural gas and electric power markets.  These lessons point to strong conditions that must be met for successful market outcomes, and strong consequences if these conditions are not met.  These conditions apply to natural gas as well as to electric power, but to differing degrees due to the higher degree of control over natural gas inventories and transportation (the physical characteristics of gas make it more easily storable, and pipeline flows can be controlled).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At present the FERC is actively seeking to refine and articulate its model of market regulation and the role it intends to play vis-à-vis other regulatory and market actors.  There thus exists an opportunity to take an active part in shaping a workable approach to regional market analysis at the FERC.  If such an approach evolves in the near future it should contribute to a more stable energy market regulatory environment, and encourage further developments in competitive market policy.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Power marketers are in a strong position to shape this debate, because they are</w:t>
      </w:r>
    </w:p>
    <w:p>
      <w:pPr>
        <w:pStyle w:val="Normal"/>
        <w:numPr>
          <w:ilvl w:val="0"/>
          <w:numId w:val="2"/>
        </w:numPr>
        <w:rPr>
          <w:rFonts w:ascii="Arial" w:hAnsi="Arial" w:cs="Arial"/>
          <w:sz w:val="22"/>
        </w:rPr>
      </w:pPr>
      <w:r>
        <w:rPr>
          <w:rFonts w:cs="Arial" w:ascii="Arial" w:hAnsi="Arial"/>
          <w:sz w:val="22"/>
        </w:rPr>
        <w:t xml:space="preserve">External parties; </w:t>
      </w:r>
    </w:p>
    <w:p>
      <w:pPr>
        <w:pStyle w:val="Normal"/>
        <w:numPr>
          <w:ilvl w:val="0"/>
          <w:numId w:val="2"/>
        </w:numPr>
        <w:rPr>
          <w:rFonts w:ascii="Arial" w:hAnsi="Arial" w:cs="Arial"/>
          <w:sz w:val="22"/>
        </w:rPr>
      </w:pPr>
      <w:r>
        <w:rPr>
          <w:rFonts w:cs="Arial" w:ascii="Arial" w:hAnsi="Arial"/>
          <w:sz w:val="22"/>
        </w:rPr>
        <w:t xml:space="preserve">Actual market participants; and </w:t>
      </w:r>
    </w:p>
    <w:p>
      <w:pPr>
        <w:pStyle w:val="Normal"/>
        <w:numPr>
          <w:ilvl w:val="0"/>
          <w:numId w:val="2"/>
        </w:numPr>
        <w:rPr>
          <w:rFonts w:ascii="Arial" w:hAnsi="Arial" w:cs="Arial"/>
          <w:sz w:val="22"/>
        </w:rPr>
      </w:pPr>
      <w:r>
        <w:rPr>
          <w:rFonts w:cs="Arial" w:ascii="Arial" w:hAnsi="Arial"/>
          <w:sz w:val="22"/>
        </w:rPr>
        <w:t xml:space="preserve">Generally pro-competition.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For a truly influential position to take shape, a company needs to understand how regional energy markets advance overall corporate strategy.  It also needs to understand what outcomes at the FERC to advocate, and what outcomes are to be avoided.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It is important to note that there are risks inherent in the current move towards regional markets.  If ‘hard targets’ or ill-considered metrics for competitive market performance are put into practice, severe ongoing problems and costs could easily result for large players like power marketers.  This also argues for immediate and constructive involvement to forestall such negative outcomes.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Defining Conditions for Successful Regional Energy Markets</w:t>
      </w:r>
    </w:p>
    <w:p>
      <w:pPr>
        <w:pStyle w:val="Normal"/>
        <w:rPr/>
      </w:pPr>
      <w:r>
        <w:rPr/>
      </w:r>
    </w:p>
    <w:p>
      <w:pPr>
        <w:pStyle w:val="BodyText"/>
        <w:rPr>
          <w:rFonts w:ascii="Arial" w:hAnsi="Arial" w:cs="Arial"/>
        </w:rPr>
      </w:pPr>
      <w:r>
        <w:rPr>
          <w:rFonts w:cs="Arial" w:ascii="Arial" w:hAnsi="Arial"/>
        </w:rPr>
        <w:t>A sound position on the question of regional energy market analysis must start with the logic and economics of competition.  Basing the entire position on sound theory and compelling logic is a prerequisite for credibility throughout the FERC decision structure.  However, the rhetoric and main arguments do not need to be abstract; quite the opposite.  What is needed is a process through which the company can take a solid foundation and establish the key action items and recommendations that flow from it.  These recommendations are the central thrust of the position and should be as concrete as possible.</w:t>
      </w:r>
    </w:p>
    <w:p>
      <w:pPr>
        <w:pStyle w:val="Normal"/>
        <w:rPr>
          <w:rFonts w:ascii="Arial" w:hAnsi="Arial" w:cs="Arial"/>
          <w:sz w:val="22"/>
        </w:rPr>
      </w:pPr>
      <w:r>
        <w:rPr>
          <w:rFonts w:cs="Arial" w:ascii="Arial" w:hAnsi="Arial"/>
          <w:sz w:val="22"/>
        </w:rPr>
      </w:r>
    </w:p>
    <w:p>
      <w:pPr>
        <w:pStyle w:val="BodyText"/>
        <w:rPr>
          <w:rFonts w:ascii="Arial" w:hAnsi="Arial" w:cs="Arial"/>
        </w:rPr>
      </w:pPr>
      <w:r>
        <w:rPr>
          <w:rFonts w:cs="Arial" w:ascii="Arial" w:hAnsi="Arial"/>
        </w:rPr>
        <w:t>One possible approach that gets at both the theoretical foundation and the need for practical recommendations is to define a set of conditions for successful regional energy markets.  If regulators are to take a particular action, it should be related to some specific condition that enables competition.  By forcing clarity on the discussion, laying out a set of conditions can motivate each specific recommendation.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Such an approach would also mimic certain approaches to strategic planning.  It is common for strategic planning to spend an inordinate amount of time at the top level, defining missions, values and goals, without connecting these top-level themes to the actual operations of the organization.  It is critical to ‘parse’ the activities of the FERC in regional energy markets against the set of actual market needs.  Some actions will be seen to be not advancing, or actually harming, the cause of competition, while others may trade off a positive effect against a negative.  Given choices (including inaction), such a set of pro-market criteria could prove extremely powerful in persuading the FERC in favor of a specific course.</w:t>
      </w:r>
    </w:p>
    <w:p>
      <w:pPr>
        <w:pStyle w:val="Normal"/>
        <w:rPr>
          <w:rFonts w:ascii="Arial" w:hAnsi="Arial" w:cs="Arial"/>
          <w:sz w:val="22"/>
        </w:rPr>
      </w:pPr>
      <w:r>
        <w:rPr>
          <w:rFonts w:cs="Arial" w:ascii="Arial" w:hAnsi="Arial"/>
          <w:sz w:val="22"/>
        </w:rPr>
      </w:r>
    </w:p>
    <w:p>
      <w:pPr>
        <w:pStyle w:val="Heading2"/>
        <w:ind w:hanging="0" w:start="0"/>
        <w:rPr/>
      </w:pPr>
      <w:r>
        <w:rPr/>
        <w:t>The Role of Quantitative Assessment</w:t>
      </w:r>
    </w:p>
    <w:p>
      <w:pPr>
        <w:pStyle w:val="Normal"/>
        <w:rPr>
          <w:rFonts w:ascii="Arial" w:hAnsi="Arial" w:cs="Arial"/>
          <w:sz w:val="22"/>
        </w:rPr>
      </w:pPr>
      <w:r>
        <w:rPr>
          <w:rFonts w:cs="Arial" w:ascii="Arial" w:hAnsi="Arial"/>
          <w:sz w:val="22"/>
        </w:rPr>
      </w:r>
    </w:p>
    <w:p>
      <w:pPr>
        <w:pStyle w:val="Normal"/>
        <w:rPr/>
      </w:pPr>
      <w:r>
        <w:rPr>
          <w:rFonts w:cs="Arial" w:ascii="Arial" w:hAnsi="Arial"/>
          <w:sz w:val="22"/>
        </w:rPr>
        <w:t>There is more to the problem than simply asserting a set of logical conditions for market success.  To be practical, some level of quantification is also needed.  The simple question is “how much?”  One obvious condition for competitive markets, for example, is a sufficient lack of market concentration.  But this begs the question of how much concentration is too much.  The tradition of merger analysis that relies on simple concentration measures (primarily the Herfindahl-Hirschman</w:t>
      </w:r>
      <w:r>
        <w:rPr/>
        <w:t xml:space="preserve"> </w:t>
      </w:r>
      <w:r>
        <w:rPr>
          <w:rFonts w:cs="Arial" w:ascii="Arial" w:hAnsi="Arial"/>
          <w:sz w:val="22"/>
        </w:rPr>
        <w:t>Index or HHI) has largely been supplanted by the delivered price test, but market concentration is still the starting point.  If a tradeoff needs to be made, establishing the magnitude of the elements to be traded leads to better judgements.  And if merger analysis as most recently laid out in FERC Order No. 642 is a potential starting point for other regional market analysis, any well-crafted position must take those specific analytic guidelines into account.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By making a good faith attempt to quantify when possible, a position on regional market analysis gains added credibility and builds a platform for continued refinement of a basic position that has been established by the company.  This is one way to ‘win’ on the framework even if the numbers do not lead to clean solutions (predictable formulas for when a competitive market has been reached).  As the numbers get debated, they are debated in a context that presumes the validity of the framework.</w:t>
      </w:r>
    </w:p>
    <w:p>
      <w:pPr>
        <w:pStyle w:val="Normal"/>
        <w:rPr>
          <w:rFonts w:ascii="Arial" w:hAnsi="Arial" w:cs="Arial"/>
          <w:sz w:val="22"/>
        </w:rPr>
      </w:pPr>
      <w:r>
        <w:rPr>
          <w:rFonts w:cs="Arial" w:ascii="Arial" w:hAnsi="Arial"/>
          <w:sz w:val="22"/>
        </w:rPr>
      </w:r>
    </w:p>
    <w:p>
      <w:pPr>
        <w:pStyle w:val="BodyText"/>
        <w:rPr>
          <w:rFonts w:ascii="Arial" w:hAnsi="Arial" w:cs="Arial"/>
        </w:rPr>
      </w:pPr>
      <w:r>
        <w:rPr>
          <w:rFonts w:cs="Arial" w:ascii="Arial" w:hAnsi="Arial"/>
        </w:rPr>
        <w:t>In a similar fashion, even if real-world decisions do not lend themselves to quantification, examples can demonstrate to the FERC that a particular recommended approach does have teeth.  It is important to show that the position does prevent the most egregious examples of market power, such as a pure monopolist pricing based on inelastic demand.  The question of degree is extremely important, and there is no substitute for addressing it head-on.  If some high prices are to be tolerated while others are to be eliminated, it takes both logic and numbers to show why this should be.</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In fact there are very good arguments that while numbers are needed, they can never substitute for informed judgement on the part of the FERC.  This is a major theme of the </w:t>
      </w:r>
      <w:r>
        <w:rPr>
          <w:rFonts w:cs="Arial" w:ascii="Arial" w:hAnsi="Arial"/>
          <w:i/>
          <w:sz w:val="22"/>
        </w:rPr>
        <w:t>State of the Markets 2000</w:t>
      </w:r>
      <w:r>
        <w:rPr>
          <w:rFonts w:cs="Arial" w:ascii="Arial" w:hAnsi="Arial"/>
          <w:sz w:val="22"/>
        </w:rPr>
        <w:t xml:space="preserve"> report, which goes to some lengths to assert that simple quantifiable measures of market performance can lead to bad regulatory policy.  </w:t>
      </w:r>
    </w:p>
    <w:p>
      <w:pPr>
        <w:pStyle w:val="Normal"/>
        <w:rPr>
          <w:rFonts w:ascii="Arial" w:hAnsi="Arial" w:cs="Arial"/>
          <w:sz w:val="22"/>
        </w:rPr>
      </w:pPr>
      <w:r>
        <w:rPr>
          <w:rFonts w:cs="Arial" w:ascii="Arial" w:hAnsi="Arial"/>
          <w:sz w:val="22"/>
        </w:rPr>
      </w:r>
    </w:p>
    <w:p>
      <w:pPr>
        <w:pStyle w:val="Heading2"/>
        <w:ind w:hanging="0" w:start="0"/>
        <w:rPr/>
      </w:pPr>
      <w:r>
        <w:rPr/>
        <w:t>Using Models to Test Examples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numbers are nonetheless important, the use of simulation models can provide a convenient and well-tested means to determine what positions the company can support, and to illustrate the resulting positions to the FERC.  The FERC does not advocate particular models at this time, but strongly encourages their use in practice.  This is especially true in merger analysis, and may become increasingly so in the regional market context.  Models are routinely used in the study of market design, and to advocate changes to markets.  Market concentration is well suited to simulation modeling, since there are typically too many actors for simple discussion or basic numerical examples to properly convey the dynamics.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Recently the FERC has been using the PowerWorld transmission simulation model in certain highly complex merger filings, including the AEP-CSW proceeding.  This model can represent specific elements of the electrical system, such as individual power plants or transmission lines, in order to test the effects of merger conditions such as divestiture or changes in operational control.  Large optimization models offer a longer-term framework for analyzing markets, and the FERC used such a model to analyze the economic and environmental impacts of Order No. 2000.  A careful use of the proper quantitative tools can provide powerful support to a position on regional market analysis.</w:t>
      </w:r>
    </w:p>
    <w:p>
      <w:pPr>
        <w:pStyle w:val="Normal"/>
        <w:rPr>
          <w:rFonts w:ascii="Arial" w:hAnsi="Arial" w:cs="Arial"/>
          <w:sz w:val="22"/>
        </w:rPr>
      </w:pPr>
      <w:r>
        <w:rPr>
          <w:rFonts w:cs="Arial" w:ascii="Arial" w:hAnsi="Arial"/>
          <w:sz w:val="22"/>
        </w:rPr>
      </w:r>
    </w:p>
    <w:p>
      <w:pPr>
        <w:pStyle w:val="Heading2"/>
        <w:ind w:hanging="0" w:start="0"/>
        <w:rPr/>
      </w:pPr>
      <w:r>
        <w:rPr/>
        <w:t>Why ICF?</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ICF Consulting has been in the forefront of energy market analysis for more than 15 years, bringing well-tested analytic tools and a broad perspective to energy issues.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Working with dozens of private and public clients around the world has given ICF the opportunity to develop unique proprietary models.  ICF has particular strength in the integrated analysis of electric, fuel and environmental markets; no other firm can match these capabilities.  Regulatory support is a fast-growing element of the practice, as is transmission flow modeling.  In fact ICF uses the same PowerWorld system in use at the FERC, and owns the Integrated Planning Model used by the FERC and the US Environmental Protection Agency, among others, for large-scale policy analysis.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suite of capabilities, coupled with the flexibility and qualifications of the Energy Group team, make ICF Consulting a leading candidate for any complex analysis in the energy sector.</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jc w:val="end"/>
      <w:rPr/>
    </w:pPr>
    <w:r>
      <w:rPr/>
      <w:t>Contact: Jim Turnure, Energy Group, ICF Consulting</w:t>
    </w:r>
  </w:p>
  <w:p>
    <w:pPr>
      <w:pStyle w:val="Footer"/>
      <w:jc w:val="end"/>
      <w:rPr/>
    </w:pPr>
    <w:r>
      <w:rPr/>
      <w:t>(703) 934-3617</w:t>
    </w:r>
  </w:p>
  <w:p>
    <w:pPr>
      <w:pStyle w:val="Footer"/>
      <w:jc w:val="end"/>
      <w:rPr/>
    </w:pPr>
    <w:r>
      <w:rPr/>
      <w:t>jturnure@icfconsulting.com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6"/>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outlineLvl w:val="1"/>
    </w:pPr>
    <w:rPr>
      <w:rFonts w:ascii="Arial" w:hAnsi="Arial" w:cs="Arial"/>
      <w:sz w:val="22"/>
      <w:u w:val="single"/>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2001-08-28T11:06:00Z</dcterms:created>
  <dc:creator>ICF</dc:creator>
  <dc:description/>
  <dc:language>en-CA</dc:language>
  <cp:lastModifiedBy>ICF</cp:lastModifiedBy>
  <dcterms:modified xsi:type="dcterms:W3CDTF">2001-08-29T17:37:00Z</dcterms:modified>
  <cp:revision>9</cp:revision>
  <dc:subject/>
  <dc:title>Concept Piece: A Workable Approach to Regional Market Analysis at the FERC</dc:title>
</cp:coreProperties>
</file>