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17,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Gary Razmus</w:t>
      </w:r>
    </w:p>
    <w:p>
      <w:pPr>
        <w:pStyle w:val="Normal"/>
        <w:rPr>
          <w:sz w:val="22"/>
        </w:rPr>
      </w:pPr>
      <w:r>
        <w:rPr>
          <w:sz w:val="22"/>
        </w:rPr>
        <w:t>Fax No.:</w:t>
        <w:tab/>
        <w:tab/>
        <w:tab/>
        <w:t>(212) 780-8723</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sz w:val="22"/>
        </w:rPr>
      </w:pPr>
      <w:r>
        <w:rPr>
          <w:sz w:val="22"/>
        </w:rPr>
        <w:t>Option Type:</w:t>
        <w:tab/>
        <w:tab/>
        <w:tab/>
        <w:tab/>
        <w:t>Collar Option</w:t>
      </w:r>
    </w:p>
    <w:p>
      <w:pPr>
        <w:pStyle w:val="Normal"/>
        <w:widowControl/>
        <w:ind w:start="720" w:end="0"/>
        <w:rPr>
          <w:sz w:val="22"/>
        </w:rPr>
      </w:pPr>
      <w:r>
        <w:rPr>
          <w:sz w:val="22"/>
        </w:rPr>
        <w:tab/>
        <w:tab/>
        <w:tab/>
        <w:tab/>
        <w:tab/>
        <w:t>(Call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Applicable</w:t>
      </w:r>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 xml:space="preserve">Notional Quantity Per </w:t>
            </w:r>
          </w:p>
          <w:p>
            <w:pPr>
              <w:pStyle w:val="Normal"/>
              <w:widowControl/>
              <w:ind w:start="720" w:end="0"/>
              <w:rPr>
                <w:sz w:val="22"/>
              </w:rPr>
            </w:pPr>
            <w:r>
              <w:rPr>
                <w:sz w:val="22"/>
              </w:rPr>
              <w:t>Determination Period:</w:t>
            </w:r>
          </w:p>
        </w:tc>
        <w:tc>
          <w:tcPr>
            <w:tcW w:w="4788" w:type="dxa"/>
            <w:tcBorders/>
          </w:tcPr>
          <w:p>
            <w:pPr>
              <w:pStyle w:val="Normal"/>
              <w:widowControl/>
              <w:snapToGrid w:val="false"/>
              <w:ind w:start="720" w:end="0"/>
              <w:rPr>
                <w:sz w:val="22"/>
              </w:rPr>
            </w:pPr>
            <w:r>
              <w:rPr>
                <w:sz w:val="22"/>
              </w:rPr>
            </w:r>
          </w:p>
          <w:p>
            <w:pPr>
              <w:pStyle w:val="Normal"/>
              <w:widowControl/>
              <w:jc w:val="both"/>
              <w:rPr>
                <w:sz w:val="22"/>
              </w:rPr>
            </w:pPr>
            <w:r>
              <w:rPr>
                <w:sz w:val="22"/>
              </w:rPr>
              <w:t>__ MWs per hour for each On-Peak Hour during the Determination Period.</w:t>
            </w:r>
          </w:p>
        </w:tc>
      </w:tr>
    </w:tbl>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start="720" w:end="0"/>
        <w:rPr>
          <w:sz w:val="22"/>
        </w:rPr>
      </w:pPr>
      <w:r>
        <w:rPr>
          <w:sz w:val="22"/>
        </w:rPr>
        <w:t>Determination Period(s)</w:t>
        <w:tab/>
        <w:tab/>
        <w:tab/>
        <w:t xml:space="preserve">Each calendar month beginning with May 1, 2001 and </w:t>
      </w:r>
    </w:p>
    <w:p>
      <w:pPr>
        <w:pStyle w:val="Normal"/>
        <w:widowControl/>
        <w:ind w:start="720" w:end="0"/>
        <w:rPr>
          <w:sz w:val="22"/>
        </w:rPr>
      </w:pPr>
      <w:r>
        <w:rPr>
          <w:sz w:val="22"/>
        </w:rPr>
        <w:tab/>
        <w:tab/>
        <w:tab/>
        <w:tab/>
        <w:tab/>
        <w:t>Ending on October 31, 2001.</w:t>
      </w:r>
    </w:p>
    <w:p>
      <w:pPr>
        <w:pStyle w:val="BodyTextIndent"/>
        <w:ind w:hanging="4320" w:start="720" w:end="0"/>
        <w:rPr/>
      </w:pPr>
      <w:r>
        <w:rPr/>
        <w:t>Determination Periodsl</w:t>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widowControl/>
        <w:ind w:firstLine="720" w:start="720" w:end="0"/>
        <w:rPr>
          <w:sz w:val="22"/>
        </w:rPr>
      </w:pPr>
      <w:r>
        <w:rPr>
          <w:sz w:val="22"/>
        </w:rPr>
      </w:r>
    </w:p>
    <w:p>
      <w:pPr>
        <w:pStyle w:val="Normal"/>
        <w:widowControl/>
        <w:ind w:start="720" w:end="0"/>
        <w:rPr>
          <w:sz w:val="22"/>
        </w:rPr>
      </w:pPr>
      <w:r>
        <w:rPr>
          <w:sz w:val="22"/>
        </w:rPr>
        <w:t>Call Price:</w:t>
        <w:tab/>
        <w:tab/>
        <w:tab/>
        <w:tab/>
        <w:t>$_____</w:t>
      </w:r>
    </w:p>
    <w:p>
      <w:pPr>
        <w:pStyle w:val="Normal"/>
        <w:widowControl/>
        <w:ind w:firstLine="720"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widowControl/>
        <w:ind w:firstLine="720" w:start="720" w:end="0"/>
        <w:rPr>
          <w:sz w:val="22"/>
        </w:rPr>
      </w:pPr>
      <w:r>
        <w:rPr>
          <w:sz w:val="22"/>
        </w:rPr>
      </w:r>
    </w:p>
    <w:p>
      <w:pPr>
        <w:pStyle w:val="Normal"/>
        <w:widowControl/>
        <w:ind w:start="720" w:end="0"/>
        <w:rPr>
          <w:sz w:val="22"/>
        </w:rPr>
      </w:pPr>
      <w:r>
        <w:rPr>
          <w:sz w:val="22"/>
        </w:rPr>
        <w:t>Put Price:</w:t>
        <w:tab/>
        <w:tab/>
        <w:tab/>
        <w:tab/>
        <w:t>$_____</w:t>
      </w:r>
    </w:p>
    <w:p>
      <w:pPr>
        <w:pStyle w:val="Normal"/>
        <w:widowControl/>
        <w:ind w:start="720" w:end="0"/>
        <w:rPr>
          <w:sz w:val="22"/>
        </w:rPr>
      </w:pPr>
      <w:r>
        <w:rPr>
          <w:sz w:val="22"/>
        </w:rPr>
      </w:r>
    </w:p>
    <w:p>
      <w:pPr>
        <w:pStyle w:val="Normal"/>
        <w:ind w:hanging="4230" w:start="4230" w:end="0"/>
        <w:rPr>
          <w:b/>
          <w:sz w:val="22"/>
        </w:rPr>
      </w:pPr>
      <w:r>
        <w:rPr>
          <w:sz w:val="22"/>
        </w:rPr>
        <w:t xml:space="preserve">Floating Price: </w:t>
        <w:tab/>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the applicable Determination Period. </w:t>
      </w:r>
    </w:p>
    <w:p>
      <w:pPr>
        <w:pStyle w:val="Normal"/>
        <w:rPr>
          <w:b/>
          <w:sz w:val="22"/>
        </w:rPr>
      </w:pPr>
      <w:r>
        <w:rPr>
          <w:b/>
          <w:sz w:val="22"/>
        </w:rPr>
      </w:r>
    </w:p>
    <w:p>
      <w:pPr>
        <w:pStyle w:val="Normal"/>
        <w:ind w:start="4230" w:end="0"/>
        <w:rPr>
          <w:sz w:val="22"/>
        </w:rPr>
      </w:pPr>
      <w:r>
        <w:rPr>
          <w:sz w:val="22"/>
        </w:rPr>
        <w:t>“</w:t>
      </w:r>
      <w:r>
        <w:rPr>
          <w:sz w:val="22"/>
        </w:rPr>
        <w:t xml:space="preserve">On-Peak Hours” means the hours commencing HE 0800 through HE 2300 Eastern Prevailing Time, Monday through Friday (excluding holidays of the North American Electric Reliability Council). </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Cash Settlement Amount:</w:t>
            </w:r>
          </w:p>
        </w:tc>
        <w:tc>
          <w:tcPr>
            <w:tcW w:w="4788" w:type="dxa"/>
            <w:tcBorders/>
          </w:tcPr>
          <w:p>
            <w:pPr>
              <w:pStyle w:val="BodyTextIndent"/>
              <w:ind w:hanging="0" w:start="-18" w:end="0"/>
              <w:jc w:val="both"/>
              <w:rPr/>
            </w:pPr>
            <w:r>
              <w:rPr/>
              <w:t>On the applicable Payment Date, either the Floating Price Payer will pay the Call Cash Settlement Amount or the Fixed Price Payer will pay the Put Cash Settlement Amount, as follows:</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sz w:val="22"/>
              </w:rPr>
            </w:pPr>
            <w:r>
              <w:rPr>
                <w:sz w:val="22"/>
              </w:rPr>
              <w:t>Amount payable by Floating Price Payor on the applicable Payment Date for such Determination Period which is the product of (i) the Notional Quantity per Determination Period and (ii) the excess, if any, of the Floating Price over the Call Price in respect of such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ind w:start="-18" w:end="0"/>
              <w:rPr>
                <w:sz w:val="22"/>
              </w:rPr>
            </w:pPr>
            <w:r>
              <w:rPr>
                <w:sz w:val="22"/>
              </w:rPr>
              <w:t>OR</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 xml:space="preserve">Put Cash Settlement </w:t>
            </w:r>
            <w:r>
              <w:rPr/>
              <w:t>Amount:</w:t>
            </w:r>
          </w:p>
        </w:tc>
        <w:tc>
          <w:tcPr>
            <w:tcW w:w="4788" w:type="dxa"/>
            <w:tcBorders/>
          </w:tcPr>
          <w:p>
            <w:pPr>
              <w:pStyle w:val="Normal"/>
              <w:widowControl/>
              <w:ind w:start="-18" w:end="0"/>
              <w:jc w:val="both"/>
              <w:rPr>
                <w:sz w:val="22"/>
              </w:rPr>
            </w:pPr>
            <w:r>
              <w:rPr>
                <w:sz w:val="22"/>
              </w:rPr>
              <w:t>Amount payable by Fixed Price Payor on the applicable Payment Date for such Determination Period which is the product of (i) the Notional Quantity per Determination Period and (ii) the excess, if any, of the Put Price over the Floating Price in respect of such Determination Period</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b/>
        <w:sz w:val="22"/>
      </w:rPr>
      <w:t>DRAFT</w:t>
    </w:r>
    <w:r>
      <w:rPr>
        <w:sz w:val="22"/>
      </w:rPr>
      <w:tab/>
      <w:tab/>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2001-04-17T14:55:00Z</dcterms:created>
  <dc:creator>Enron User</dc:creator>
  <dc:description/>
  <dc:language>en-CA</dc:language>
  <cp:lastModifiedBy>mmurphy</cp:lastModifiedBy>
  <cp:lastPrinted>1999-03-31T13:55:00Z</cp:lastPrinted>
  <dcterms:modified xsi:type="dcterms:W3CDTF">2001-04-17T15:18:00Z</dcterms:modified>
  <cp:revision>7</cp:revision>
  <dc:subject>Magnum Hunter Resources, Inc.</dc:subject>
  <dc:title>EQ9244.1</dc:title>
</cp:coreProperties>
</file>