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CON EDIOSN DRAFT AS OF 4/10/01</w:t>
      </w:r>
    </w:p>
    <w:p>
      <w:pPr>
        <w:pStyle w:val="Normal"/>
        <w:jc w:val="end"/>
        <w:rPr>
          <w:b/>
          <w:sz w:val="22"/>
          <w:u w:val="single"/>
        </w:rPr>
      </w:pPr>
      <w:r>
        <w:rPr>
          <w:b/>
          <w:sz w:val="22"/>
          <w:u w:val="single"/>
        </w:rPr>
        <w:t>FOR DISCUSSION PURPOSES ONLY</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200_</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428"/>
        <w:gridCol w:w="720"/>
        <w:gridCol w:w="4428"/>
      </w:tblGrid>
      <w:tr>
        <w:trPr/>
        <w:tc>
          <w:tcPr>
            <w:tcW w:w="4428" w:type="dxa"/>
            <w:tcBorders/>
          </w:tcPr>
          <w:p>
            <w:pPr>
              <w:pStyle w:val="Normal"/>
              <w:spacing w:before="120" w:after="0"/>
              <w:rPr>
                <w:b/>
                <w:sz w:val="22"/>
              </w:rPr>
            </w:pPr>
            <w:r>
              <w:rPr>
                <w:b/>
                <w:sz w:val="22"/>
              </w:rPr>
              <w:t>CONSOLIDATED EDISON COMPANY OF NEW YORK, INC., a corporation organized under the law of the State of New York ("Party A")</w:t>
            </w:r>
          </w:p>
        </w:tc>
        <w:tc>
          <w:tcPr>
            <w:tcW w:w="720" w:type="dxa"/>
            <w:tcBorders/>
          </w:tcPr>
          <w:p>
            <w:pPr>
              <w:pStyle w:val="Normal"/>
              <w:spacing w:before="120" w:after="0"/>
              <w:jc w:val="center"/>
              <w:rPr>
                <w:b/>
                <w:sz w:val="22"/>
              </w:rPr>
            </w:pPr>
            <w:r>
              <w:rPr>
                <w:b/>
                <w:sz w:val="22"/>
              </w:rPr>
              <w:t>and</w:t>
            </w:r>
          </w:p>
        </w:tc>
        <w:tc>
          <w:tcPr>
            <w:tcW w:w="4428" w:type="dxa"/>
            <w:tcBorders/>
          </w:tcPr>
          <w:p>
            <w:pPr>
              <w:pStyle w:val="Normal"/>
              <w:spacing w:before="120" w:after="0"/>
              <w:rPr>
                <w:b/>
                <w:sz w:val="22"/>
              </w:rPr>
            </w:pPr>
            <w:r>
              <w:rPr>
                <w:b/>
                <w:sz w:val="22"/>
              </w:rPr>
              <w:t>_____________________________________, a _____________ organized under the law of the State of ________________ (“Party B”)</w:t>
            </w:r>
          </w:p>
        </w:tc>
      </w:tr>
    </w:tbl>
    <w:p>
      <w:pPr>
        <w:pStyle w:val="Normal"/>
        <w:jc w:val="center"/>
        <w:rPr>
          <w:b/>
          <w:sz w:val="22"/>
        </w:rPr>
      </w:pPr>
      <w:r>
        <w:rPr>
          <w:b/>
          <w:sz w:val="22"/>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or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blHeader w:val="true"/>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keepNext w:val="true"/>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 x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100%</w:t>
            </w:r>
          </w:p>
        </w:tc>
      </w:tr>
      <w:tr>
        <w:trPr/>
        <w:tc>
          <w:tcPr>
            <w:tcW w:w="630" w:type="dxa"/>
            <w:tcBorders/>
          </w:tcPr>
          <w:p>
            <w:pPr>
              <w:pStyle w:val="Normal"/>
              <w:keepNext w:val="true"/>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x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 ]</w:t>
            </w:r>
          </w:p>
        </w:tc>
        <w:tc>
          <w:tcPr>
            <w:tcW w:w="1644" w:type="dxa"/>
            <w:tcBorders/>
          </w:tcPr>
          <w:p>
            <w:pPr>
              <w:pStyle w:val="Normal"/>
              <w:keepNext w:val="true"/>
              <w:keepLines/>
              <w:jc w:val="center"/>
              <w:rPr>
                <w:sz w:val="22"/>
              </w:rPr>
            </w:pPr>
            <w:r>
              <w:rPr>
                <w:sz w:val="22"/>
              </w:rPr>
              <w:t>[x ]</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color w:val="800000"/>
          <w:sz w:val="22"/>
        </w:rPr>
      </w:pPr>
      <w:r>
        <w:rPr>
          <w:color w:val="800000"/>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the amount set forth opposite the lowest Credit Rating for such party, and with respect to Party B, the lesser of (a) the amount set forth opposite the lowest Credit Rating for such party; or (b) the amount to which the guaranty of Party B's Credit Support Provider identified in Part 4(d) of the Schedule (Credit Support Documents) is limited.</w:t>
      </w:r>
    </w:p>
    <w:p>
      <w:pPr>
        <w:pStyle w:val="Normal"/>
        <w:ind w:hanging="720" w:start="2160" w:end="0"/>
        <w:jc w:val="both"/>
        <w:rPr>
          <w:color w:val="000000"/>
          <w:sz w:val="22"/>
        </w:rPr>
      </w:pPr>
      <w:r>
        <w:rPr>
          <w:color w:val="000000"/>
          <w:sz w:val="22"/>
        </w:rPr>
      </w:r>
      <w:r>
        <w:br w:type="page"/>
      </w:r>
    </w:p>
    <w:p>
      <w:pPr>
        <w:pStyle w:val="Normal"/>
        <w:ind w:hanging="720" w:start="2160" w:end="0"/>
        <w:jc w:val="both"/>
        <w:rPr>
          <w:sz w:val="22"/>
        </w:rPr>
      </w:pPr>
      <w:r>
        <w:rPr>
          <w:sz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1"/>
      </w:tblGrid>
      <w:tr>
        <w:trPr/>
        <w:tc>
          <w:tcPr>
            <w:tcW w:w="2070" w:type="dxa"/>
            <w:tcBorders/>
          </w:tcPr>
          <w:p>
            <w:pPr>
              <w:pStyle w:val="Normal"/>
              <w:rPr>
                <w:b/>
                <w:sz w:val="22"/>
                <w:u w:val="single"/>
              </w:rPr>
            </w:pPr>
            <w:r>
              <w:rPr>
                <w:b/>
                <w:sz w:val="22"/>
                <w:u w:val="single"/>
              </w:rPr>
              <w:t>PARTY A</w:t>
            </w:r>
          </w:p>
          <w:p>
            <w:pPr>
              <w:pStyle w:val="Normal"/>
              <w:rPr>
                <w:sz w:val="22"/>
              </w:rPr>
            </w:pPr>
            <w:r>
              <w:rPr>
                <w:b/>
                <w:sz w:val="22"/>
                <w:u w:val="single"/>
              </w:rPr>
              <w:t>THRESHOLD</w:t>
            </w:r>
          </w:p>
        </w:tc>
        <w:tc>
          <w:tcPr>
            <w:tcW w:w="2409" w:type="dxa"/>
            <w:tcBorders/>
          </w:tcPr>
          <w:p>
            <w:pPr>
              <w:pStyle w:val="Normal"/>
              <w:rPr>
                <w:b/>
                <w:sz w:val="22"/>
                <w:u w:val="single"/>
              </w:rPr>
            </w:pPr>
            <w:r>
              <w:rPr>
                <w:b/>
                <w:sz w:val="22"/>
                <w:u w:val="single"/>
              </w:rPr>
              <w:t>PARTY B</w:t>
            </w:r>
          </w:p>
          <w:p>
            <w:pPr>
              <w:pStyle w:val="Normal"/>
              <w:rPr>
                <w:b/>
                <w:sz w:val="22"/>
                <w:u w:val="single"/>
              </w:rPr>
            </w:pPr>
            <w:r>
              <w:rPr>
                <w:b/>
                <w:sz w:val="22"/>
                <w:u w:val="single"/>
              </w:rPr>
              <w:t>THRESHOLD</w:t>
            </w:r>
          </w:p>
        </w:tc>
        <w:tc>
          <w:tcPr>
            <w:tcW w:w="1828" w:type="dxa"/>
            <w:tcBorders/>
          </w:tcPr>
          <w:p>
            <w:pPr>
              <w:pStyle w:val="Normal"/>
              <w:rPr>
                <w:b/>
                <w:sz w:val="22"/>
                <w:u w:val="single"/>
              </w:rPr>
            </w:pPr>
            <w:r>
              <w:rPr>
                <w:b/>
                <w:sz w:val="22"/>
                <w:u w:val="single"/>
              </w:rPr>
              <w:t>S&amp;P CREDIT RATING</w:t>
            </w:r>
          </w:p>
          <w:p>
            <w:pPr>
              <w:pStyle w:val="Normal"/>
              <w:ind w:start="-18" w:end="0"/>
              <w:rPr>
                <w:b/>
                <w:sz w:val="22"/>
                <w:u w:val="single"/>
              </w:rPr>
            </w:pPr>
            <w:r>
              <w:rPr>
                <w:b/>
                <w:sz w:val="22"/>
                <w:u w:val="single"/>
              </w:rPr>
            </w:r>
          </w:p>
        </w:tc>
        <w:tc>
          <w:tcPr>
            <w:tcW w:w="1901" w:type="dxa"/>
            <w:tcBorders/>
          </w:tcPr>
          <w:p>
            <w:pPr>
              <w:pStyle w:val="Normal"/>
              <w:rPr>
                <w:b/>
                <w:sz w:val="22"/>
                <w:u w:val="single"/>
              </w:rPr>
            </w:pPr>
            <w:r>
              <w:rPr>
                <w:b/>
                <w:sz w:val="22"/>
                <w:u w:val="single"/>
              </w:rPr>
              <w:t>MOODY'S CREDIT RATING</w:t>
            </w:r>
          </w:p>
          <w:p>
            <w:pPr>
              <w:pStyle w:val="Normal"/>
              <w:rPr>
                <w:b/>
                <w:sz w:val="22"/>
                <w:u w:val="single"/>
              </w:rPr>
            </w:pPr>
            <w:r>
              <w:rPr>
                <w:b/>
                <w:sz w:val="22"/>
                <w:u w:val="single"/>
              </w:rPr>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ind w:start="-18" w:end="0"/>
              <w:rPr>
                <w:sz w:val="22"/>
              </w:rPr>
            </w:pPr>
            <w:r>
              <w:rPr>
                <w:sz w:val="22"/>
              </w:rPr>
              <w:t>A- (or above)</w:t>
            </w:r>
          </w:p>
        </w:tc>
        <w:tc>
          <w:tcPr>
            <w:tcW w:w="1901" w:type="dxa"/>
            <w:tcBorders/>
          </w:tcPr>
          <w:p>
            <w:pPr>
              <w:pStyle w:val="Normal"/>
              <w:rPr>
                <w:sz w:val="22"/>
              </w:rPr>
            </w:pPr>
            <w:r>
              <w:rPr>
                <w:sz w:val="22"/>
              </w:rPr>
              <w:t>A3 (or above)</w:t>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ind w:start="-18" w:end="0"/>
              <w:rPr>
                <w:sz w:val="22"/>
              </w:rPr>
            </w:pPr>
            <w:r>
              <w:rPr>
                <w:sz w:val="22"/>
              </w:rPr>
              <w:t>BBB+</w:t>
            </w:r>
          </w:p>
        </w:tc>
        <w:tc>
          <w:tcPr>
            <w:tcW w:w="1901" w:type="dxa"/>
            <w:tcBorders/>
          </w:tcPr>
          <w:p>
            <w:pPr>
              <w:pStyle w:val="Normal"/>
              <w:rPr>
                <w:sz w:val="22"/>
              </w:rPr>
            </w:pPr>
            <w:r>
              <w:rPr>
                <w:sz w:val="22"/>
              </w:rPr>
              <w:t>Baa1</w:t>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ind w:start="-18" w:end="0"/>
              <w:rPr>
                <w:sz w:val="22"/>
              </w:rPr>
            </w:pPr>
            <w:r>
              <w:rPr>
                <w:sz w:val="22"/>
              </w:rPr>
              <w:t>BBB</w:t>
            </w:r>
          </w:p>
        </w:tc>
        <w:tc>
          <w:tcPr>
            <w:tcW w:w="1901" w:type="dxa"/>
            <w:tcBorders/>
          </w:tcPr>
          <w:p>
            <w:pPr>
              <w:pStyle w:val="Normal"/>
              <w:rPr>
                <w:sz w:val="22"/>
              </w:rPr>
            </w:pPr>
            <w:r>
              <w:rPr>
                <w:sz w:val="22"/>
              </w:rPr>
              <w:t>Baa2</w:t>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ind w:start="-18" w:end="0"/>
              <w:rPr>
                <w:sz w:val="22"/>
              </w:rPr>
            </w:pPr>
            <w:r>
              <w:rPr>
                <w:sz w:val="22"/>
              </w:rPr>
              <w:t>BBB-</w:t>
            </w:r>
          </w:p>
        </w:tc>
        <w:tc>
          <w:tcPr>
            <w:tcW w:w="1901" w:type="dxa"/>
            <w:tcBorders/>
          </w:tcPr>
          <w:p>
            <w:pPr>
              <w:pStyle w:val="Normal"/>
              <w:rPr>
                <w:sz w:val="22"/>
              </w:rPr>
            </w:pPr>
            <w:r>
              <w:rPr>
                <w:sz w:val="22"/>
              </w:rPr>
              <w:t>Baa3</w:t>
            </w:r>
          </w:p>
        </w:tc>
      </w:tr>
      <w:tr>
        <w:trPr/>
        <w:tc>
          <w:tcPr>
            <w:tcW w:w="2070" w:type="dxa"/>
            <w:tcBorders/>
          </w:tcPr>
          <w:p>
            <w:pPr>
              <w:pStyle w:val="Normal"/>
              <w:rPr>
                <w:sz w:val="22"/>
              </w:rPr>
            </w:pPr>
            <w:r>
              <w:rPr>
                <w:sz w:val="22"/>
              </w:rPr>
              <w:t>U.S. $ 0</w:t>
            </w:r>
          </w:p>
        </w:tc>
        <w:tc>
          <w:tcPr>
            <w:tcW w:w="2409" w:type="dxa"/>
            <w:tcBorders/>
          </w:tcPr>
          <w:p>
            <w:pPr>
              <w:pStyle w:val="Normal"/>
              <w:rPr>
                <w:sz w:val="22"/>
              </w:rPr>
            </w:pPr>
            <w:r>
              <w:rPr>
                <w:sz w:val="22"/>
              </w:rPr>
              <w:t>U.S. $ 0</w:t>
            </w:r>
          </w:p>
        </w:tc>
        <w:tc>
          <w:tcPr>
            <w:tcW w:w="1828" w:type="dxa"/>
            <w:tcBorders/>
          </w:tcPr>
          <w:p>
            <w:pPr>
              <w:pStyle w:val="Normal"/>
              <w:ind w:start="-18" w:end="0"/>
              <w:rPr>
                <w:sz w:val="22"/>
              </w:rPr>
            </w:pPr>
            <w:r>
              <w:rPr>
                <w:sz w:val="22"/>
              </w:rPr>
              <w:t>Below BBB-</w:t>
            </w:r>
          </w:p>
        </w:tc>
        <w:tc>
          <w:tcPr>
            <w:tcW w:w="1901" w:type="dxa"/>
            <w:tcBorders/>
          </w:tcPr>
          <w:p>
            <w:pPr>
              <w:pStyle w:val="Normal"/>
              <w:rPr>
                <w:sz w:val="22"/>
              </w:rPr>
            </w:pPr>
            <w:r>
              <w:rPr>
                <w:sz w:val="22"/>
              </w:rPr>
              <w:t>Below Baa3</w:t>
            </w:r>
          </w:p>
        </w:tc>
      </w:tr>
    </w:tbl>
    <w:p>
      <w:pPr>
        <w:pStyle w:val="Normal"/>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w:t>
      </w:r>
      <w:r>
        <w:rPr>
          <w:sz w:val="22"/>
          <w:u w:val="single"/>
        </w:rPr>
        <w:t>_[to come]___</w:t>
      </w:r>
      <w:r>
        <w:rPr>
          <w:sz w:val="22"/>
        </w:rPr>
        <w:t>_.</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 _</w:t>
      </w:r>
      <w:r>
        <w:rPr>
          <w:sz w:val="22"/>
          <w:u w:val="single"/>
        </w:rPr>
        <w:t>[to come]</w:t>
      </w:r>
      <w:r>
        <w:rPr>
          <w:sz w:val="22"/>
        </w:rPr>
        <w:t>____.</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$_</w:t>
      </w:r>
      <w:r>
        <w:rPr>
          <w:color w:val="000000"/>
          <w:sz w:val="22"/>
          <w:u w:val="single"/>
        </w:rPr>
        <w:t>[to come]_</w:t>
      </w:r>
      <w:r>
        <w:rPr>
          <w:color w:val="000000"/>
          <w:sz w:val="22"/>
        </w:rPr>
        <w:t xml:space="preserve">_ </w:t>
      </w:r>
      <w:r>
        <w:rPr>
          <w:sz w:val="22"/>
        </w:rPr>
        <w:t xml:space="preserve">and the Return Amount will be rounded down to the nearest integral multiple of U.S. </w:t>
      </w:r>
      <w:r>
        <w:rPr>
          <w:color w:val="000000"/>
          <w:sz w:val="22"/>
        </w:rPr>
        <w:t>$</w:t>
      </w:r>
      <w:r>
        <w:rPr>
          <w:color w:val="000000"/>
          <w:sz w:val="22"/>
          <w:u w:val="single"/>
        </w:rPr>
        <w:t xml:space="preserve"> [to come]</w:t>
      </w:r>
      <w:r>
        <w:rPr>
          <w:color w:val="000000"/>
          <w:sz w:val="22"/>
        </w:rPr>
        <w:t>.</w:t>
      </w:r>
    </w:p>
    <w:p>
      <w:pPr>
        <w:pStyle w:val="Normal"/>
        <w:ind w:hanging="720" w:start="720" w:end="0"/>
        <w:jc w:val="both"/>
        <w:rPr>
          <w:color w:val="000000"/>
          <w:sz w:val="22"/>
        </w:rPr>
      </w:pPr>
      <w:r>
        <w:rPr>
          <w:color w:val="000000"/>
          <w:sz w:val="22"/>
        </w:rPr>
      </w:r>
    </w:p>
    <w:p>
      <w:pPr>
        <w:pStyle w:val="Normal"/>
        <w:widowControl w:val="false"/>
        <w:ind w:hanging="720" w:start="720" w:end="0"/>
        <w:jc w:val="both"/>
        <w:rPr>
          <w:sz w:val="22"/>
        </w:rPr>
      </w:pPr>
      <w:r>
        <w:rPr>
          <w:sz w:val="22"/>
        </w:rPr>
        <w:t xml:space="preserve">(c)  </w:t>
      </w:r>
      <w:r>
        <w:rPr>
          <w:b/>
          <w:sz w:val="22"/>
        </w:rPr>
        <w:t>Valuation and Timing.</w:t>
      </w:r>
    </w:p>
    <w:p>
      <w:pPr>
        <w:pStyle w:val="Normal"/>
        <w:widowControl w:val="false"/>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 in New York City.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New York City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New York City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3:00 p.m.,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r>
        <w:br w:type="page"/>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  ]</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  ]</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  ]</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Applicable [ X ]</w:t>
      </w:r>
    </w:p>
    <w:p>
      <w:pPr>
        <w:pStyle w:val="Normal"/>
        <w:ind w:firstLine="720" w:start="5040" w:end="0"/>
        <w:jc w:val="both"/>
        <w:rPr>
          <w:sz w:val="22"/>
        </w:rPr>
      </w:pPr>
      <w:r>
        <w:rPr>
          <w:sz w:val="22"/>
        </w:rPr>
        <w:t>Inapplicable  [  ]</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r>
        <w:br w:type="page"/>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Only a party’s Custodian may hold posted collateral.  Party A’s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BodyTextIndent"/>
        <w:ind w:start="1080" w:end="0"/>
        <w:rPr>
          <w:sz w:val="22"/>
        </w:rPr>
      </w:pPr>
      <w:r>
        <w:rPr>
          <w:sz w:val="22"/>
        </w:rPr>
        <w:t>(1) Posted Collateral may be held only in the following jurisdictions:  Any jurisdiction within the United States.</w:t>
      </w:r>
    </w:p>
    <w:p>
      <w:pPr>
        <w:pStyle w:val="BodyText"/>
        <w:spacing w:lineRule="auto" w:line="240"/>
        <w:rPr>
          <w:sz w:val="22"/>
        </w:rPr>
      </w:pPr>
      <w:r>
        <w:rPr>
          <w:sz w:val="22"/>
        </w:rPr>
      </w:r>
    </w:p>
    <w:p>
      <w:pPr>
        <w:pStyle w:val="BodyTextIndent"/>
        <w:ind w:start="1080" w:end="0"/>
        <w:rPr/>
      </w:pPr>
      <w:r>
        <w:rPr>
          <w:sz w:val="22"/>
        </w:rPr>
        <w:t>(2) The Custodian is a commercial bank or trust company organized under the law of the United States or a political subdivision thereof, with a Credit Rating of at least “A-” in the case of S&amp;P or “A3” in the case of Moody’s (“Qualified Institution”),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ind w:start="1080" w:end="0"/>
        <w:rPr>
          <w:sz w:val="22"/>
        </w:rPr>
      </w:pPr>
      <w:r>
        <w:rPr>
          <w:sz w:val="22"/>
        </w:rPr>
      </w:r>
    </w:p>
    <w:p>
      <w:pPr>
        <w:pStyle w:val="BodyTextIndent"/>
        <w:ind w:start="1080" w:end="0"/>
        <w:rPr>
          <w:sz w:val="22"/>
        </w:rPr>
      </w:pPr>
      <w:r>
        <w:rPr>
          <w:sz w:val="22"/>
        </w:rPr>
        <w:t>Initially, the Custodian for Party A shall be:</w:t>
      </w:r>
    </w:p>
    <w:p>
      <w:pPr>
        <w:pStyle w:val="Normal"/>
        <w:ind w:start="720" w:end="0"/>
        <w:jc w:val="both"/>
        <w:rPr>
          <w:sz w:val="22"/>
        </w:rPr>
      </w:pPr>
      <w:r>
        <w:rPr>
          <w:sz w:val="22"/>
        </w:rPr>
      </w:r>
    </w:p>
    <w:p>
      <w:pPr>
        <w:pStyle w:val="Normal"/>
        <w:ind w:start="720" w:end="0"/>
        <w:jc w:val="both"/>
        <w:rPr/>
      </w:pPr>
      <w:r>
        <w:rPr>
          <w:sz w:val="22"/>
        </w:rPr>
        <w:t xml:space="preserve">Party B’s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Posted Collateral may be held only in the following jurisdictions:  Any jurisdiction in the United States.</w:t>
      </w:r>
    </w:p>
    <w:p>
      <w:pPr>
        <w:pStyle w:val="Normal"/>
        <w:ind w:start="1080" w:end="0"/>
        <w:jc w:val="both"/>
        <w:rPr>
          <w:sz w:val="22"/>
        </w:rPr>
      </w:pPr>
      <w:r>
        <w:rPr>
          <w:sz w:val="22"/>
        </w:rPr>
      </w:r>
    </w:p>
    <w:p>
      <w:pPr>
        <w:pStyle w:val="BodyTextIndent"/>
        <w:ind w:start="1080" w:end="0"/>
        <w:rPr>
          <w:sz w:val="22"/>
        </w:rPr>
      </w:pPr>
      <w:r>
        <w:rPr>
          <w:sz w:val="22"/>
        </w:rPr>
        <w:t>(2)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
        <w:ind w:start="1080" w:end="0"/>
        <w:rPr>
          <w:sz w:val="22"/>
        </w:rPr>
      </w:pPr>
      <w:r>
        <w:rPr>
          <w:sz w:val="22"/>
        </w:rPr>
        <w:t>Initially, the Custodian for Party B shall be:</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1440" w:end="0"/>
        <w:jc w:val="both"/>
        <w:rPr>
          <w:sz w:val="22"/>
        </w:rPr>
      </w:pPr>
      <w:r>
        <w:rPr>
          <w:sz w:val="22"/>
        </w:rPr>
        <w:t>(1)  The provisions of Paragraph 6(c) will not apply to the parties.</w:t>
      </w:r>
    </w:p>
    <w:p>
      <w:pPr>
        <w:pStyle w:val="Normal"/>
        <w:ind w:hanging="720" w:start="2160" w:end="0"/>
        <w:jc w:val="both"/>
        <w:rPr>
          <w:sz w:val="22"/>
        </w:rPr>
      </w:pPr>
      <w:r>
        <w:rPr>
          <w:sz w:val="22"/>
        </w:rPr>
      </w:r>
    </w:p>
    <w:p>
      <w:pPr>
        <w:pStyle w:val="Normal"/>
        <w:ind w:start="1440" w:end="0"/>
        <w:jc w:val="both"/>
        <w:rPr>
          <w:sz w:val="22"/>
        </w:rPr>
      </w:pPr>
      <w:r>
        <w:rPr>
          <w:sz w:val="22"/>
        </w:rPr>
        <w:t>(2)  The Custodian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 [minus 0.50%].</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ind w:start="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color w:val="80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color w:val="800000"/>
          <w:sz w:val="22"/>
        </w:rPr>
      </w:pPr>
      <w:r>
        <w:rPr>
          <w:color w:val="800000"/>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Services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spacing w:lineRule="auto" w:line="240"/>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b/>
          <w:sz w:val="22"/>
        </w:rPr>
      </w:pPr>
      <w:r>
        <w:rPr>
          <w:b/>
          <w:sz w:val="22"/>
        </w:rPr>
        <w:t xml:space="preserve">CONSOLIDATED EDISON COMPANY </w:t>
        <w:tab/>
        <w:t>________________________________</w:t>
        <w:tab/>
        <w:tab/>
      </w:r>
    </w:p>
    <w:p>
      <w:pPr>
        <w:pStyle w:val="Normal"/>
        <w:ind w:start="720" w:end="0"/>
        <w:jc w:val="both"/>
        <w:rPr>
          <w:sz w:val="22"/>
        </w:rPr>
      </w:pPr>
      <w:r>
        <w:rPr>
          <w:b/>
          <w:sz w:val="22"/>
        </w:rPr>
        <w:t>OF NEW YORK, INC.</w:t>
      </w:r>
    </w:p>
    <w:p>
      <w:pPr>
        <w:pStyle w:val="Normal"/>
        <w:ind w:start="720" w:end="0"/>
        <w:jc w:val="both"/>
        <w:rPr>
          <w:sz w:val="22"/>
        </w:rPr>
      </w:pPr>
      <w:r>
        <w:rPr>
          <w:sz w:val="22"/>
        </w:rPr>
      </w:r>
    </w:p>
    <w:p>
      <w:pPr>
        <w:pStyle w:val="Normal"/>
        <w:ind w:start="720" w:end="0"/>
        <w:jc w:val="both"/>
        <w:rPr>
          <w:sz w:val="22"/>
        </w:rPr>
      </w:pPr>
      <w:r>
        <w:rPr>
          <w:sz w:val="22"/>
        </w:rPr>
        <w:t xml:space="preserve">By:________________________________ </w:t>
        <w:tab/>
        <w:t>By:________________________________</w:t>
      </w:r>
    </w:p>
    <w:p>
      <w:pPr>
        <w:pStyle w:val="Normal"/>
        <w:ind w:start="720" w:end="0"/>
        <w:jc w:val="both"/>
        <w:rPr>
          <w:sz w:val="22"/>
        </w:rPr>
      </w:pPr>
      <w:r>
        <w:rPr>
          <w:sz w:val="22"/>
        </w:rPr>
        <w:t xml:space="preserve">Name:_____________________________ </w:t>
        <w:tab/>
        <w:t>Name:_____________________________</w:t>
      </w:r>
    </w:p>
    <w:p>
      <w:pPr>
        <w:pStyle w:val="Normal"/>
        <w:ind w:start="720" w:end="0"/>
        <w:jc w:val="both"/>
        <w:rPr>
          <w:sz w:val="22"/>
        </w:rPr>
      </w:pPr>
      <w:r>
        <w:rPr>
          <w:sz w:val="22"/>
        </w:rPr>
        <w:t>Title:______________________________</w:t>
        <w:tab/>
        <w:t>Title:______________________________</w:t>
      </w:r>
    </w:p>
    <w:p>
      <w:pPr>
        <w:pStyle w:val="Normal"/>
        <w:ind w:start="720" w:end="0"/>
        <w:jc w:val="both"/>
        <w:rPr>
          <w:sz w:val="22"/>
        </w:rPr>
      </w:pPr>
      <w:r>
        <w:rPr>
          <w:sz w:val="22"/>
        </w:rPr>
        <w:t>Date:______________________________</w:t>
        <w:tab/>
        <w:t>Date:______________________________</w:t>
      </w:r>
    </w:p>
    <w:p>
      <w:pPr>
        <w:sectPr>
          <w:footerReference w:type="default" r:id="rId2"/>
          <w:type w:val="nextPage"/>
          <w:pgSz w:w="12240" w:h="15840"/>
          <w:pgMar w:left="1440" w:right="1440" w:gutter="0" w:header="0" w:top="1440" w:footer="835" w:bottom="1440"/>
          <w:pgNumType w:start="12" w:fmt="decimal"/>
          <w:formProt w:val="false"/>
          <w:textDirection w:val="lrTb"/>
          <w:docGrid w:type="default" w:linePitch="360" w:charSpace="0"/>
        </w:sectPr>
        <w:pStyle w:val="Normal"/>
        <w:keepNext w:val="true"/>
        <w:ind w:start="720" w:end="0"/>
        <w:jc w:val="both"/>
        <w:rPr>
          <w:sz w:val="22"/>
        </w:rPr>
      </w:pPr>
      <w:r>
        <w:rPr>
          <w:sz w:val="22"/>
        </w:rPr>
      </w:r>
    </w:p>
    <w:p>
      <w:pPr>
        <w:pStyle w:val="Normal"/>
        <w:jc w:val="end"/>
        <w:rPr>
          <w:b/>
          <w:sz w:val="22"/>
        </w:rPr>
      </w:pPr>
      <w:r>
        <w:rPr>
          <w:b/>
          <w:sz w:val="22"/>
        </w:rPr>
        <w:t>DRAFT DATED 3/27/01</w:t>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pStyle w:val="Normal"/>
        <w:numPr>
          <w:ilvl w:val="0"/>
          <w:numId w:val="2"/>
        </w:numPr>
        <w:rPr>
          <w:sz w:val="22"/>
        </w:rPr>
      </w:pPr>
      <w:r>
        <w:rPr>
          <w:sz w:val="22"/>
        </w:rPr>
        <w:t xml:space="preserve">The provisions of this </w:t>
      </w:r>
      <w:r>
        <w:rPr>
          <w:sz w:val="22"/>
          <w:u w:val="single"/>
        </w:rPr>
        <w:t>Exhibit A</w:t>
      </w:r>
      <w:r>
        <w:rPr>
          <w:sz w:val="22"/>
        </w:rPr>
        <w:t xml:space="preserve"> shall constitute agreements for all purposes of this Agreement and this</w:t>
      </w:r>
    </w:p>
    <w:p>
      <w:pPr>
        <w:pStyle w:val="Normal"/>
        <w:ind w:firstLine="375" w:end="0"/>
        <w:rPr/>
      </w:pPr>
      <w:r>
        <w:rPr/>
        <w:t>Annex, including Section 5(a)(iii) of this Agreement.</w:t>
      </w:r>
    </w:p>
    <w:sectPr>
      <w:headerReference w:type="default" r:id="rId3"/>
      <w:headerReference w:type="first" r:id="rId4"/>
      <w:footerReference w:type="default" r:id="rId5"/>
      <w:footerReference w:type="first" r:id="rId6"/>
      <w:type w:val="nextPage"/>
      <w:pgSz w:w="12240" w:h="15840"/>
      <w:pgMar w:left="864" w:right="1440" w:gutter="0" w:header="720" w:top="1440" w:footer="720" w:bottom="86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rStyle w:val="zzmpTrailerItem"/>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033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Footer"/>
      <w:spacing w:lineRule="exact" w:line="200"/>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DC1:#80615282</w:t>
    </w:r>
    <w:r>
      <w:rPr/>
      <w:t xml:space="preserve"> </w:t>
    </w:r>
  </w:p>
  <w:p>
    <w:pPr>
      <w:pStyle w:val="Footer"/>
      <w:spacing w:lineRule="exact" w:line="200"/>
      <w:rPr/>
    </w:pPr>
    <w:r>
      <w:rPr>
        <w:rStyle w:val="zzmpTrailerItem"/>
      </w:rPr>
      <w:t xml:space="preserve">DRAFT 28667-01000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8:24 AM</w:t>
    </w:r>
    <w:r>
      <w:rPr>
        <w:rStyle w:val="zzmpTrailerItem"/>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375"/>
        </w:tabs>
        <w:ind w:start="375" w:hanging="375"/>
      </w:pPr>
      <w:rPr/>
    </w:lvl>
  </w:abstractNum>
  <w:abstractNum w:abstractNumId="3">
    <w:lvl w:ilvl="0">
      <w:start w:val="2"/>
      <w:numFmt w:val="decimal"/>
      <w:lvlText w:val="(%1)"/>
      <w:lvlJc w:val="start"/>
      <w:pPr>
        <w:tabs>
          <w:tab w:val="num" w:pos="1455"/>
        </w:tabs>
        <w:ind w:start="1455" w:hanging="375"/>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MarkCheckBox" w:val="TRUE"/>
    <w:docVar w:name="ShowPrintedCheckBox" w:val="TRUE"/>
    <w:docVar w:name="ShowScreenCheckBox" w:val="TRUE"/>
    <w:docVar w:name="zzmpFixedDOC_ID" w:val="H:\Docs\ConEd - Credit Annex (clean).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WW8Num1z0">
    <w:name w:val="WW8Num1z0"/>
    <w:qFormat/>
    <w:rPr>
      <w:b/>
      <w:i w:val="false"/>
      <w:u w:val="none"/>
    </w:rPr>
  </w:style>
  <w:style w:type="character" w:styleId="WW8Num1z2">
    <w:name w:val="WW8Num1z2"/>
    <w:qFormat/>
    <w:rPr>
      <w:b w:val="false"/>
      <w:u w:val="non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b w:val="false"/>
    </w:rPr>
  </w:style>
  <w:style w:type="character" w:styleId="WW8Num17z0">
    <w:name w:val="WW8Num17z0"/>
    <w:qFormat/>
    <w:rPr/>
  </w:style>
  <w:style w:type="character" w:styleId="WW8Num19z0">
    <w:name w:val="WW8Num19z0"/>
    <w:qFormat/>
    <w:rPr>
      <w:sz w:val="22"/>
      <w:szCs w:val="22"/>
    </w:rPr>
  </w:style>
  <w:style w:type="character" w:styleId="WW8Num21z0">
    <w:name w:val="WW8Num21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color w:val="000000"/>
    </w:rPr>
  </w:style>
  <w:style w:type="character" w:styleId="WW8Num31z0">
    <w:name w:val="WW8Num31z0"/>
    <w:qFormat/>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
    <w:name w:val="Body Text Indent"/>
    <w:basedOn w:val="BodyText"/>
    <w:next w:val="BodyText"/>
    <w:pPr>
      <w:spacing w:lineRule="auto" w:line="240"/>
      <w:ind w:hanging="0" w:start="720" w:end="0"/>
    </w:pPr>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Footer">
    <w:name w:val="foot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2001-04-10T17:17:00Z</dcterms:created>
  <dc:creator>skramer</dc:creator>
  <dc:description/>
  <dc:language>en-CA</dc:language>
  <cp:lastModifiedBy>Peter A Irwin</cp:lastModifiedBy>
  <cp:lastPrinted>2001-04-10T15:52:00Z</cp:lastPrinted>
  <dcterms:modified xsi:type="dcterms:W3CDTF">2001-04-10T17:53:00Z</dcterms:modified>
  <cp:revision>5</cp:revision>
  <dc:subject/>
  <dc:title>DRAFT AS OF 3/27/01</dc:title>
</cp:coreProperties>
</file>