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spacing w:lineRule="auto" w:line="240" w:before="0" w:after="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t>UNITED STATES OF AMERICA</w:t>
      </w:r>
      <w:r>
        <mc:AlternateContent>
          <mc:Choice Requires="wps">
            <w:drawing>
              <wp:anchor behindDoc="0" distT="0" distB="0" distL="114935" distR="114935" simplePos="0" locked="0" layoutInCell="1" allowOverlap="1" relativeHeight="12">
                <wp:simplePos x="0" y="0"/>
                <wp:positionH relativeFrom="column">
                  <wp:posOffset>5212080</wp:posOffset>
                </wp:positionH>
                <wp:positionV relativeFrom="paragraph">
                  <wp:posOffset>91440</wp:posOffset>
                </wp:positionV>
                <wp:extent cx="1463040" cy="914400"/>
                <wp:effectExtent l="0" t="0" r="0" b="0"/>
                <wp:wrapNone/>
                <wp:docPr id="2" name="Frame1"/>
                <a:graphic xmlns:a="http://schemas.openxmlformats.org/drawingml/2006/main">
                  <a:graphicData uri="http://schemas.microsoft.com/office/word/2010/wordprocessingShape">
                    <wps:wsp>
                      <wps:cNvSpPr txBox="1"/>
                      <wps:spPr>
                        <a:xfrm>
                          <a:off x="0" y="0"/>
                          <a:ext cx="146304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5.2pt;height:72pt;mso-wrap-distance-left:9.05pt;mso-wrap-distance-right:9.05pt;mso-wrap-distance-top:0pt;mso-wrap-distance-bottom:0pt;margin-top:7.2pt;mso-position-vertical-relative:text;margin-left:410.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Center"/>
        <w:spacing w:lineRule="auto" w:line="240" w:before="0" w:after="0"/>
        <w:rPr>
          <w:rFonts w:ascii="Arial" w:hAnsi="Arial" w:cs="Arial"/>
        </w:rPr>
      </w:pPr>
      <w:r>
        <w:rPr>
          <w:rFonts w:cs="Arial" w:ascii="Arial" w:hAnsi="Arial"/>
        </w:rPr>
        <w:t>FEDERAL ENERGY REGULATORY COMMISSION</w:t>
      </w:r>
    </w:p>
    <w:p>
      <w:pPr>
        <w:pStyle w:val="Normal"/>
        <w:spacing w:lineRule="auto" w:line="480"/>
        <w:jc w:val="center"/>
        <w:rPr>
          <w:rFonts w:ascii="Arial" w:hAnsi="Arial" w:cs="Arial"/>
        </w:rPr>
      </w:pPr>
      <w:r>
        <w:rPr>
          <w:rFonts w:cs="Arial" w:ascii="Arial" w:hAnsi="Arial"/>
        </w:rPr>
      </w:r>
    </w:p>
    <w:p>
      <w:pPr>
        <w:pStyle w:val="Normal"/>
        <w:spacing w:lineRule="auto" w:line="480"/>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______________________________________                                                          </w:t>
      </w:r>
    </w:p>
    <w:p>
      <w:pPr>
        <w:pStyle w:val="Normal"/>
        <w:rPr>
          <w:rFonts w:ascii="Arial" w:hAnsi="Arial" w:cs="Arial"/>
          <w:sz w:val="24"/>
        </w:rPr>
      </w:pPr>
      <w:r>
        <w:rPr>
          <w:rFonts w:cs="Arial" w:ascii="Arial" w:hAnsi="Arial"/>
        </w:rPr>
        <w:tab/>
        <w:tab/>
        <w:tab/>
        <w:tab/>
        <w:tab/>
        <w:tab/>
        <w:t>)</w:t>
      </w:r>
    </w:p>
    <w:p>
      <w:pPr>
        <w:pStyle w:val="Normal"/>
        <w:rPr>
          <w:rFonts w:ascii="Arial" w:hAnsi="Arial" w:cs="Arial"/>
          <w:sz w:val="24"/>
        </w:rPr>
      </w:pPr>
      <w:r>
        <w:rPr>
          <w:rFonts w:cs="Arial" w:ascii="Arial" w:hAnsi="Arial"/>
          <w:sz w:val="24"/>
        </w:rPr>
        <w:t>New York Independent System</w:t>
        <w:tab/>
        <w:tab/>
        <w:t>)</w:t>
        <w:tab/>
        <w:t>Docket Nos. ER01-2076-000</w:t>
      </w:r>
    </w:p>
    <w:p>
      <w:pPr>
        <w:pStyle w:val="Normal"/>
        <w:rPr>
          <w:rFonts w:ascii="Arial" w:hAnsi="Arial" w:cs="Arial"/>
          <w:sz w:val="24"/>
        </w:rPr>
      </w:pPr>
      <w:r>
        <w:rPr>
          <w:rFonts w:eastAsia="Arial" w:cs="Arial" w:ascii="Arial" w:hAnsi="Arial"/>
          <w:sz w:val="24"/>
        </w:rPr>
        <w:t xml:space="preserve">  </w:t>
      </w:r>
      <w:r>
        <w:rPr>
          <w:rFonts w:cs="Arial" w:ascii="Arial" w:hAnsi="Arial"/>
          <w:sz w:val="24"/>
        </w:rPr>
        <w:t>Operator, Inc.</w:t>
        <w:tab/>
        <w:tab/>
        <w:tab/>
        <w:tab/>
        <w:t>)</w:t>
      </w:r>
    </w:p>
    <w:p>
      <w:pPr>
        <w:pStyle w:val="Normal"/>
        <w:rPr>
          <w:rFonts w:ascii="Arial" w:hAnsi="Arial" w:cs="Arial"/>
          <w:sz w:val="24"/>
        </w:rPr>
      </w:pPr>
      <w:r>
        <w:rPr>
          <w:rFonts w:cs="Arial" w:ascii="Arial" w:hAnsi="Arial"/>
          <w:sz w:val="24"/>
        </w:rPr>
        <w:tab/>
        <w:tab/>
        <w:tab/>
        <w:tab/>
        <w:tab/>
        <w:tab/>
        <w:t>)</w:t>
      </w:r>
    </w:p>
    <w:p>
      <w:pPr>
        <w:pStyle w:val="Normal"/>
        <w:rPr>
          <w:rFonts w:ascii="Arial" w:hAnsi="Arial" w:cs="Arial"/>
          <w:sz w:val="24"/>
        </w:rPr>
      </w:pPr>
      <w:r>
        <w:rPr>
          <w:rFonts w:cs="Arial" w:ascii="Arial" w:hAnsi="Arial"/>
          <w:sz w:val="24"/>
        </w:rPr>
        <w:t xml:space="preserve">Consolidated Edison Company </w:t>
        <w:tab/>
        <w:tab/>
        <w:t>)</w:t>
        <w:tab/>
        <w:tab/>
        <w:t xml:space="preserve">          EL01-45-001 and </w:t>
      </w:r>
    </w:p>
    <w:p>
      <w:pPr>
        <w:pStyle w:val="Normal"/>
        <w:rPr>
          <w:rFonts w:ascii="Arial" w:hAnsi="Arial" w:cs="Arial"/>
          <w:sz w:val="24"/>
        </w:rPr>
      </w:pPr>
      <w:r>
        <w:rPr>
          <w:rFonts w:eastAsia="Arial" w:cs="Arial" w:ascii="Arial" w:hAnsi="Arial"/>
          <w:sz w:val="24"/>
        </w:rPr>
        <w:t xml:space="preserve">  </w:t>
      </w:r>
      <w:r>
        <w:rPr>
          <w:rFonts w:cs="Arial" w:ascii="Arial" w:hAnsi="Arial"/>
          <w:sz w:val="24"/>
        </w:rPr>
        <w:t>Of New York, Inc.</w:t>
        <w:tab/>
        <w:tab/>
        <w:tab/>
        <w:tab/>
        <w:t>)</w:t>
        <w:tab/>
        <w:tab/>
        <w:t xml:space="preserve">          ER01-1385-001</w:t>
      </w:r>
    </w:p>
    <w:p>
      <w:pPr>
        <w:pStyle w:val="Normal"/>
        <w:rPr>
          <w:rFonts w:ascii="Arial" w:hAnsi="Arial" w:cs="Arial"/>
          <w:sz w:val="24"/>
        </w:rPr>
      </w:pPr>
      <w:r>
        <w:rPr>
          <w:rFonts w:cs="Arial" w:ascii="Arial" w:hAnsi="Arial"/>
          <w:sz w:val="24"/>
        </w:rPr>
        <w:t>________________________________</w:t>
        <w:tab/>
        <w:t>)</w:t>
        <w:tab/>
        <w:tab/>
        <w:t xml:space="preserve">          not consolidated</w:t>
        <w:tab/>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rPr>
      </w:pPr>
      <w:r>
        <w:rPr>
          <w:rFonts w:cs="Arial" w:ascii="Arial" w:hAnsi="Arial"/>
        </w:rPr>
      </w:r>
    </w:p>
    <w:p>
      <w:pPr>
        <w:pStyle w:val="bodytext-indent"/>
        <w:spacing w:lineRule="auto" w:line="240"/>
        <w:ind w:hanging="0" w:end="0"/>
        <w:jc w:val="center"/>
        <w:rPr>
          <w:rFonts w:ascii="Arial" w:hAnsi="Arial" w:cs="Arial"/>
          <w:b/>
        </w:rPr>
      </w:pPr>
      <w:r>
        <w:rPr>
          <w:rFonts w:cs="Arial" w:ascii="Arial" w:hAnsi="Arial"/>
          <w:b/>
        </w:rPr>
        <w:t>MOTION FOR LEAVE TO INTERVENE AND PROTEST OF THE</w:t>
      </w:r>
    </w:p>
    <w:p>
      <w:pPr>
        <w:pStyle w:val="bodytext-indent"/>
        <w:spacing w:lineRule="auto" w:line="240" w:before="0" w:after="240"/>
        <w:ind w:hanging="0" w:end="0"/>
        <w:jc w:val="center"/>
        <w:rPr>
          <w:rFonts w:ascii="Arial" w:hAnsi="Arial" w:cs="Arial"/>
          <w:b/>
        </w:rPr>
      </w:pPr>
      <w:r>
        <w:rPr>
          <w:rFonts w:cs="Arial" w:ascii="Arial" w:hAnsi="Arial"/>
          <w:b/>
        </w:rPr>
        <w:t>ELECTRIC POWER SUPPLY ASSOCIATION</w:t>
      </w:r>
    </w:p>
    <w:p>
      <w:pPr>
        <w:pStyle w:val="BodyText2"/>
        <w:tabs>
          <w:tab w:val="clear" w:pos="720"/>
        </w:tabs>
        <w:ind w:firstLine="720" w:end="0"/>
        <w:rPr/>
      </w:pPr>
      <w:r>
        <w:rPr/>
        <w:t xml:space="preserve">Pursuant to Rules 214 and 211 of the Rules of Practice and Procedure of the Federal Energy Regulatory Commission (FERC or Commission), 18 C.F.R. §§ 214 and 211, the Electric Power Supply Association (EPSA) hereby moves for leave to intervene and protest in </w:t>
      </w:r>
      <w:r>
        <mc:AlternateContent>
          <mc:Choice Requires="wps">
            <w:drawing>
              <wp:anchor behindDoc="0" distT="0" distB="0" distL="114935" distR="114935" simplePos="0" locked="0" layoutInCell="1" allowOverlap="1" relativeHeight="14">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the above-captioned proceedings in which the New York Independent System Operator, Inc. (NYISO), seeks to extend the termination date for the Automated Mitigation Procedures (AMP) to October 31, 2002, and Consolidated Edison Company of New York, Inc. (Con Ed) seeks to extend the revised localized market-power mitigation measures (Revised LMM) applicable to New York City to October 31, 2002.</w:t>
      </w:r>
    </w:p>
    <w:p>
      <w:pPr>
        <w:pStyle w:val="BodyText2"/>
        <w:tabs>
          <w:tab w:val="clear" w:pos="720"/>
        </w:tabs>
        <w:rPr>
          <w:b/>
        </w:rPr>
      </w:pPr>
      <w:r>
        <w:rPr>
          <w:b/>
        </w:rPr>
        <w:t>INTERVENTION</w:t>
      </w:r>
    </w:p>
    <w:p>
      <w:pPr>
        <w:pStyle w:val="BodyTextStyle"/>
        <w:spacing w:lineRule="auto" w:line="480"/>
        <w:rPr>
          <w:rFonts w:ascii="Arial" w:hAnsi="Arial" w:cs="Arial"/>
        </w:rPr>
      </w:pPr>
      <w:r>
        <w:rPr>
          <w:rFonts w:cs="Arial" w:ascii="Arial" w:hAnsi="Arial"/>
        </w:rPr>
        <w:t>All pleadings, correspondence and other communications concerning the docket should be directed to:</w:t>
      </w:r>
    </w:p>
    <w:p>
      <w:pPr>
        <w:pStyle w:val="Heading2"/>
        <w:numPr>
          <w:ilvl w:val="0"/>
          <w:numId w:val="0"/>
        </w:numPr>
        <w:spacing w:lineRule="auto" w:line="240" w:before="0" w:after="0"/>
        <w:ind w:hanging="0" w:start="0"/>
        <w:rPr>
          <w:rFonts w:ascii="Arial" w:hAnsi="Arial" w:cs="Arial"/>
        </w:rPr>
      </w:pPr>
      <w:r>
        <w:rPr>
          <w:rFonts w:cs="Arial" w:ascii="Arial" w:hAnsi="Arial"/>
        </w:rPr>
      </w:r>
    </w:p>
    <w:p>
      <w:pPr>
        <w:pStyle w:val="Heading2"/>
        <w:numPr>
          <w:ilvl w:val="0"/>
          <w:numId w:val="0"/>
        </w:numPr>
        <w:spacing w:lineRule="auto" w:line="240" w:before="0" w:after="0"/>
        <w:ind w:hanging="0" w:start="0"/>
        <w:rPr>
          <w:rFonts w:ascii="Arial" w:hAnsi="Arial" w:cs="Arial"/>
        </w:rPr>
      </w:pPr>
      <w:r>
        <w:rPr>
          <w:rFonts w:cs="Arial" w:ascii="Arial" w:hAnsi="Arial"/>
        </w:rPr>
      </w:r>
    </w:p>
    <w:p>
      <w:pPr>
        <w:pStyle w:val="Heading2"/>
        <w:numPr>
          <w:ilvl w:val="0"/>
          <w:numId w:val="0"/>
        </w:numPr>
        <w:spacing w:lineRule="auto" w:line="240" w:before="0" w:after="0"/>
        <w:ind w:hanging="0" w:start="0"/>
        <w:rPr>
          <w:rFonts w:ascii="Arial" w:hAnsi="Arial" w:cs="Arial"/>
        </w:rPr>
      </w:pPr>
      <w:r>
        <w:rPr>
          <w:rFonts w:cs="Arial" w:ascii="Arial" w:hAnsi="Arial"/>
        </w:rPr>
      </w:r>
    </w:p>
    <w:p>
      <w:pPr>
        <w:pStyle w:val="Heading2"/>
        <w:numPr>
          <w:ilvl w:val="0"/>
          <w:numId w:val="0"/>
        </w:numPr>
        <w:spacing w:lineRule="auto" w:line="240" w:before="0" w:after="0"/>
        <w:ind w:hanging="0" w:start="0"/>
        <w:rPr>
          <w:rFonts w:ascii="Arial" w:hAnsi="Arial" w:cs="Arial"/>
        </w:rPr>
      </w:pPr>
      <w:r>
        <w:rPr>
          <w:rFonts w:cs="Arial" w:ascii="Arial" w:hAnsi="Arial"/>
        </w:rPr>
      </w:r>
    </w:p>
    <w:p>
      <w:pPr>
        <w:pStyle w:val="Heading2"/>
        <w:numPr>
          <w:ilvl w:val="0"/>
          <w:numId w:val="0"/>
        </w:numPr>
        <w:spacing w:lineRule="auto" w:line="240" w:before="0" w:after="0"/>
        <w:ind w:hanging="0" w:start="0"/>
        <w:rPr>
          <w:rFonts w:ascii="Arial" w:hAnsi="Arial" w:cs="Arial"/>
        </w:rPr>
      </w:pPr>
      <w:r>
        <w:rPr>
          <w:rFonts w:cs="Arial" w:ascii="Arial" w:hAnsi="Arial"/>
        </w:rPr>
      </w:r>
    </w:p>
    <w:p>
      <w:pPr>
        <w:pStyle w:val="Heading2"/>
        <w:numPr>
          <w:ilvl w:val="0"/>
          <w:numId w:val="0"/>
        </w:numPr>
        <w:spacing w:lineRule="auto" w:line="240" w:before="0" w:after="0"/>
        <w:ind w:hanging="0" w:start="720" w:end="0"/>
        <w:rPr>
          <w:rFonts w:ascii="Arial" w:hAnsi="Arial" w:cs="Arial"/>
        </w:rPr>
      </w:pPr>
      <w:r>
        <w:rPr>
          <w:rFonts w:cs="Arial" w:ascii="Arial" w:hAnsi="Arial"/>
        </w:rPr>
        <w:t>Julie Simon, Vice President of Policy</w:t>
      </w:r>
    </w:p>
    <w:p>
      <w:pPr>
        <w:pStyle w:val="Heading2"/>
        <w:numPr>
          <w:ilvl w:val="0"/>
          <w:numId w:val="0"/>
        </w:numPr>
        <w:spacing w:lineRule="auto" w:line="240" w:before="0" w:after="0"/>
        <w:ind w:firstLine="720" w:start="0" w:end="0"/>
        <w:rPr>
          <w:rFonts w:ascii="Arial" w:hAnsi="Arial" w:cs="Arial"/>
        </w:rPr>
      </w:pPr>
      <w:r>
        <w:rPr>
          <w:rFonts w:cs="Arial" w:ascii="Arial" w:hAnsi="Arial"/>
        </w:rPr>
        <w:t>Erin Perrigo, Manager of Policy</w:t>
        <w:tab/>
        <w:tab/>
      </w:r>
    </w:p>
    <w:p>
      <w:pPr>
        <w:pStyle w:val="Heading3"/>
        <w:numPr>
          <w:ilvl w:val="0"/>
          <w:numId w:val="0"/>
        </w:numPr>
        <w:spacing w:lineRule="auto" w:line="240" w:before="0" w:after="0"/>
        <w:ind w:hanging="0" w:start="0"/>
        <w:rPr>
          <w:rFonts w:ascii="Arial" w:hAnsi="Arial" w:cs="Arial"/>
        </w:rPr>
      </w:pPr>
      <w:r>
        <w:rPr>
          <w:rFonts w:cs="Arial" w:ascii="Arial" w:hAnsi="Arial"/>
        </w:rPr>
        <w:tab/>
        <w:t>Electric Power Supply Association</w:t>
        <w:tab/>
        <w:tab/>
      </w:r>
    </w:p>
    <w:p>
      <w:pPr>
        <w:pStyle w:val="Normal"/>
        <w:ind w:firstLine="720" w:end="-630"/>
        <w:rPr/>
      </w:pPr>
      <w:r>
        <w:rPr>
          <w:rFonts w:cs="Arial" w:ascii="Arial" w:hAnsi="Arial"/>
          <w:sz w:val="24"/>
        </w:rPr>
        <w:t>1401 New York Ave., N.W., 11</w:t>
      </w:r>
      <w:r>
        <w:rPr>
          <w:rFonts w:cs="Arial" w:ascii="Arial" w:hAnsi="Arial"/>
          <w:sz w:val="24"/>
          <w:vertAlign w:val="superscript"/>
        </w:rPr>
        <w:t>th</w:t>
      </w:r>
      <w:r>
        <w:rPr>
          <w:rFonts w:cs="Arial" w:ascii="Arial" w:hAnsi="Arial"/>
          <w:sz w:val="24"/>
        </w:rPr>
        <w:t xml:space="preserve"> Floor</w:t>
        <w:tab/>
        <w:tab/>
      </w:r>
    </w:p>
    <w:p>
      <w:pPr>
        <w:pStyle w:val="Normal"/>
        <w:rPr>
          <w:rFonts w:ascii="Arial" w:hAnsi="Arial" w:cs="Arial"/>
          <w:sz w:val="24"/>
        </w:rPr>
      </w:pPr>
      <w:r>
        <w:rPr>
          <w:rFonts w:cs="Arial" w:ascii="Arial" w:hAnsi="Arial"/>
          <w:sz w:val="24"/>
        </w:rPr>
        <w:tab/>
        <w:t>Washington, D.C. 20005</w:t>
        <w:tab/>
        <w:tab/>
        <w:tab/>
        <w:tab/>
      </w:r>
    </w:p>
    <w:p>
      <w:pPr>
        <w:pStyle w:val="Normal"/>
        <w:ind w:firstLine="720" w:end="0"/>
        <w:rPr>
          <w:rFonts w:ascii="Arial" w:hAnsi="Arial" w:cs="Arial"/>
          <w:sz w:val="24"/>
        </w:rPr>
      </w:pPr>
      <w:r>
        <w:rPr>
          <w:rFonts w:cs="Arial" w:ascii="Arial" w:hAnsi="Arial"/>
          <w:sz w:val="24"/>
        </w:rPr>
        <w:t>Tel:</w:t>
        <w:tab/>
        <w:t>202-628-8200</w:t>
        <w:tab/>
        <w:tab/>
        <w:tab/>
      </w:r>
    </w:p>
    <w:p>
      <w:pPr>
        <w:pStyle w:val="BodyTextStyle"/>
        <w:spacing w:lineRule="auto" w:line="240"/>
        <w:ind w:firstLine="720" w:end="0"/>
        <w:rPr>
          <w:rFonts w:ascii="Arial" w:hAnsi="Arial" w:cs="Arial"/>
        </w:rPr>
      </w:pPr>
      <w:r>
        <w:rPr>
          <w:rFonts w:cs="Arial" w:ascii="Arial" w:hAnsi="Arial"/>
        </w:rPr>
        <w:t>Fax:</w:t>
        <w:tab/>
        <w:t>202-628-8260</w:t>
      </w:r>
    </w:p>
    <w:p>
      <w:pPr>
        <w:pStyle w:val="BodyTextStyle"/>
        <w:spacing w:lineRule="auto" w:line="240"/>
        <w:ind w:firstLine="720" w:end="0"/>
        <w:rPr>
          <w:rFonts w:ascii="Arial" w:hAnsi="Arial" w:cs="Arial"/>
        </w:rPr>
      </w:pPr>
      <w:r>
        <w:rPr>
          <w:rFonts w:cs="Arial" w:ascii="Arial" w:hAnsi="Arial"/>
        </w:rPr>
      </w:r>
    </w:p>
    <w:p>
      <w:pPr>
        <w:pStyle w:val="BodyTextStyle"/>
        <w:spacing w:lineRule="auto" w:line="480"/>
        <w:ind w:firstLine="720" w:end="0"/>
        <w:rPr/>
      </w:pPr>
      <w:r>
        <w:rPr>
          <w:rFonts w:cs="Arial" w:ascii="Arial" w:hAnsi="Arial"/>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rPr>
        <w:footnoteReference w:id="2"/>
      </w:r>
      <w:r>
        <w:rPr>
          <w:rFonts w:cs="Arial" w:ascii="Arial" w:hAnsi="Arial"/>
        </w:rPr>
        <w:t xml:space="preserve">  Many EPSA members are participants in the NYISO markets, do business in New York, and own, operate and construct generation facilities in New York and will be affected by the proposed extensions of such unnecessary market mitigation measures.  Any single party, therefore, cannot adequately represent EPSA’s interest in this proceeding.</w:t>
      </w:r>
    </w:p>
    <w:p>
      <w:pPr>
        <w:pStyle w:val="BodyText2"/>
        <w:tabs>
          <w:tab w:val="clear" w:pos="720"/>
        </w:tabs>
        <w:ind w:firstLine="720" w:end="0"/>
        <w:rPr/>
      </w:pPr>
      <w:r>
        <w:rPr/>
        <w:t>In a Notice issued September 12, 2001, the Commission set September 25,</w:t>
      </w:r>
      <w:r>
        <w:rPr>
          <w:highlight w:val="yellow"/>
        </w:rPr>
        <w:t xml:space="preserve"> </w:t>
      </w:r>
      <w:r>
        <w:rPr/>
        <w:t>2001, as the deadline for timely filed motions for leave to intervene or protests in Docket No. ER01-2076-000 and October 19, 2001, as the deadline for timely motions for leave to intervene or protests in Docket No. EL01-45-001 and ER01-1385-001.  EPSA hereby files this timely motion for leave to intervene and protest in this proceeding.</w:t>
      </w:r>
    </w:p>
    <w:p>
      <w:pPr>
        <w:pStyle w:val="BodyText2"/>
        <w:tabs>
          <w:tab w:val="clear" w:pos="720"/>
        </w:tabs>
        <w:ind w:firstLine="720" w:end="0"/>
        <w:rPr/>
      </w:pPr>
      <w:r>
        <w:rPr/>
      </w:r>
    </w:p>
    <w:p>
      <w:pPr>
        <w:pStyle w:val="BodyText2"/>
        <w:tabs>
          <w:tab w:val="clear" w:pos="720"/>
        </w:tabs>
        <w:ind w:firstLine="720" w:end="0"/>
        <w:rPr/>
      </w:pPr>
      <w:r>
        <w:rPr/>
      </w:r>
    </w:p>
    <w:p>
      <w:pPr>
        <w:pStyle w:val="BodyText2"/>
        <w:tabs>
          <w:tab w:val="clear" w:pos="720"/>
        </w:tabs>
        <w:ind w:firstLine="720" w:end="0"/>
        <w:rPr/>
      </w:pPr>
      <w:r>
        <w:rPr/>
      </w:r>
    </w:p>
    <w:p>
      <w:pPr>
        <w:pStyle w:val="BodyText2"/>
        <w:tabs>
          <w:tab w:val="clear" w:pos="720"/>
        </w:tabs>
        <w:ind w:firstLine="720" w:end="0"/>
        <w:rPr/>
      </w:pPr>
      <w:r>
        <w:rPr/>
      </w:r>
    </w:p>
    <w:p>
      <w:pPr>
        <w:pStyle w:val="BodyTextStyle"/>
        <w:spacing w:lineRule="auto" w:line="480"/>
        <w:ind w:hanging="0" w:end="0"/>
        <w:rPr>
          <w:rFonts w:ascii="Arial" w:hAnsi="Arial" w:cs="Arial"/>
          <w:b/>
        </w:rPr>
      </w:pPr>
      <w:r>
        <w:rPr>
          <w:rFonts w:cs="Arial" w:ascii="Arial" w:hAnsi="Arial"/>
          <w:b/>
        </w:rPr>
        <w:t>PROTEST</w:t>
      </w:r>
    </w:p>
    <w:p>
      <w:pPr>
        <w:pStyle w:val="BodyTextStyle"/>
        <w:spacing w:lineRule="auto" w:line="240"/>
        <w:ind w:hanging="720" w:start="720" w:end="0"/>
        <w:rPr>
          <w:rFonts w:ascii="Arial" w:hAnsi="Arial" w:cs="Arial"/>
          <w:b/>
        </w:rPr>
      </w:pPr>
      <w:r>
        <w:rPr>
          <w:rFonts w:cs="Arial" w:ascii="Arial" w:hAnsi="Arial"/>
          <w:b/>
        </w:rPr>
        <w:t>I.</w:t>
        <w:tab/>
      </w:r>
      <w:r>
        <w:rPr>
          <w:rFonts w:cs="Arial" w:ascii="Arial" w:hAnsi="Arial"/>
          <w:b/>
          <w:caps/>
        </w:rPr>
        <w:t>The commission shouldnot approve extention of market mitiagtion in new york</w:t>
      </w:r>
    </w:p>
    <w:p>
      <w:pPr>
        <w:pStyle w:val="BodyTextStyle"/>
        <w:spacing w:lineRule="auto" w:line="240"/>
        <w:ind w:firstLine="720" w:end="0"/>
        <w:rPr>
          <w:rFonts w:ascii="Arial" w:hAnsi="Arial" w:cs="Arial"/>
          <w:b/>
        </w:rPr>
      </w:pPr>
      <w:r>
        <w:rPr>
          <w:rFonts w:cs="Arial" w:ascii="Arial" w:hAnsi="Arial"/>
          <w:b/>
        </w:rPr>
      </w:r>
    </w:p>
    <w:p>
      <w:pPr>
        <w:pStyle w:val="BodyTextStyle"/>
        <w:spacing w:lineRule="auto" w:line="480"/>
        <w:ind w:firstLine="720" w:end="0"/>
        <w:rPr>
          <w:rFonts w:ascii="Arial" w:hAnsi="Arial" w:cs="Arial"/>
        </w:rPr>
      </w:pPr>
      <w:r>
        <w:rPr>
          <w:rFonts w:cs="Arial" w:ascii="Arial" w:hAnsi="Arial"/>
        </w:rPr>
        <w:t xml:space="preserve">The NYISO and Con Ed are once again, seeking to extend the AMP and the Revised LMM until October 31, 2002 – an entire calendar year.  EPSA, once again, strongly urges the Commission to reject these additional extensions.  </w:t>
      </w:r>
    </w:p>
    <w:p>
      <w:pPr>
        <w:pStyle w:val="BodyTextStyle"/>
        <w:spacing w:lineRule="auto" w:line="480"/>
        <w:ind w:firstLine="720" w:end="0"/>
        <w:rPr>
          <w:rFonts w:ascii="Arial" w:hAnsi="Arial" w:cs="Arial"/>
          <w:b/>
        </w:rPr>
      </w:pPr>
      <w:r>
        <w:rPr>
          <w:rFonts w:cs="Arial" w:ascii="Arial" w:hAnsi="Arial"/>
          <w:b/>
        </w:rPr>
        <w:t>A.</w:t>
        <w:tab/>
        <w:t>THE AMP AND REVISED LMM EXTENSIONS ARE NOT JUSTIFIED</w:t>
      </w:r>
    </w:p>
    <w:p>
      <w:pPr>
        <w:pStyle w:val="BodyTextStyle"/>
        <w:spacing w:lineRule="auto" w:line="480"/>
        <w:ind w:firstLine="720" w:end="0"/>
        <w:rPr>
          <w:rFonts w:ascii="Arial" w:hAnsi="Arial" w:cs="Arial"/>
        </w:rPr>
      </w:pPr>
      <w:r>
        <w:rPr>
          <w:rFonts w:cs="Arial" w:ascii="Arial" w:hAnsi="Arial"/>
        </w:rPr>
        <w:t xml:space="preserve">Neither the NYISO nor Con Ed have shown that market abuse exists, or that the current market mitigation measures are unjust or unreasonable.  In fact, both NYISO and Con Ed’s requests to extend the AMP and Revised LMM are based on assumptions that the markets may experience  “the undisputed threat of market power” and make no credible case to show that the market has experienced undue market abuse.  </w:t>
      </w:r>
    </w:p>
    <w:p>
      <w:pPr>
        <w:pStyle w:val="BodyTextStyle"/>
        <w:spacing w:lineRule="auto" w:line="480"/>
        <w:ind w:firstLine="720" w:end="0"/>
        <w:rPr/>
      </w:pPr>
      <w:r>
        <w:rPr>
          <w:rFonts w:cs="Arial" w:ascii="Arial" w:hAnsi="Arial"/>
        </w:rPr>
        <w:t>In its June 28</w:t>
      </w:r>
      <w:r>
        <w:rPr>
          <w:rFonts w:cs="Arial" w:ascii="Arial" w:hAnsi="Arial"/>
          <w:vertAlign w:val="superscript"/>
        </w:rPr>
        <w:t>th</w:t>
      </w:r>
      <w:r>
        <w:rPr>
          <w:rFonts w:cs="Arial" w:ascii="Arial" w:hAnsi="Arial"/>
        </w:rPr>
        <w:t xml:space="preserve"> Order approving the AMP, the Commission justly criticized NYISO for implementing automatic mitigation “without determining whether there is an underlying structural market power problem.”</w:t>
      </w:r>
      <w:r>
        <w:rPr>
          <w:rStyle w:val="FootnoteCharacters"/>
          <w:rStyle w:val="FootnoteReference"/>
          <w:rFonts w:cs="Arial" w:ascii="Arial" w:hAnsi="Arial"/>
        </w:rPr>
        <w:footnoteReference w:id="3"/>
      </w:r>
      <w:r>
        <w:rPr>
          <w:rFonts w:cs="Arial" w:ascii="Arial" w:hAnsi="Arial"/>
        </w:rPr>
        <w:t xml:space="preserve">  Yet, the NYISO’s September 28</w:t>
      </w:r>
      <w:r>
        <w:rPr>
          <w:rFonts w:cs="Arial" w:ascii="Arial" w:hAnsi="Arial"/>
          <w:vertAlign w:val="superscript"/>
        </w:rPr>
        <w:t>th</w:t>
      </w:r>
      <w:r>
        <w:rPr>
          <w:rFonts w:cs="Arial" w:ascii="Arial" w:hAnsi="Arial"/>
        </w:rPr>
        <w:t xml:space="preserve"> request to extend the AMP nevertheless fails to determine if the New York market has a fundamentally flawed market power problem.  This is a requirement the Commission should consider necessary before approving what has simply proven to be an unnecessary fix to market flaws that do not exist.  Indeed, it is clear that both NYISO and Con Ed propose to remedy alleged symptoms of market abuse, rather than address real, conclusive flaws in the market.</w:t>
      </w:r>
    </w:p>
    <w:p>
      <w:pPr>
        <w:pStyle w:val="BodyTextStyle"/>
        <w:spacing w:lineRule="auto" w:line="480"/>
        <w:ind w:firstLine="720" w:end="0"/>
        <w:rPr/>
      </w:pPr>
      <w:r>
        <w:rPr>
          <w:rFonts w:cs="Arial" w:ascii="Arial" w:hAnsi="Arial"/>
        </w:rPr>
        <w:t xml:space="preserve">EPSA reminds the Commission of its comments of August 20, 2001, where we once again highlight how the New York Market Advisor’s Report, entitled </w:t>
      </w:r>
      <w:r>
        <w:rPr>
          <w:rFonts w:cs="Arial" w:ascii="Arial" w:hAnsi="Arial"/>
          <w:i/>
        </w:rPr>
        <w:t>The New York Market Advisor’s Annual Report on the New York Electric Markets for Calendar Year 2000</w:t>
      </w:r>
      <w:r>
        <w:rPr>
          <w:rFonts w:cs="Arial" w:ascii="Arial" w:hAnsi="Arial"/>
        </w:rPr>
        <w:t xml:space="preserve">, illustrates that electric markets in New York have been competitive and that the existing mitigation measures are adequate and effective.  The NYISO’s Market Advisor stands apart from the filing parties in both the AMP case and the Revised LMM case, in that it is dealing with facts - and not rhetorical allegations.  Clearly, the Commission simply ignores the Market Advisor’s Report and its factual underpinnings.  EPSA once again strongly recommends that the Commission not base its findings on speculation that capacity </w:t>
      </w:r>
      <w:r>
        <w:rPr>
          <w:rFonts w:cs="Arial" w:ascii="Arial" w:hAnsi="Arial"/>
          <w:i/>
        </w:rPr>
        <w:t>might</w:t>
      </w:r>
      <w:r>
        <w:rPr>
          <w:rFonts w:cs="Arial" w:ascii="Arial" w:hAnsi="Arial"/>
        </w:rPr>
        <w:t xml:space="preserve"> be tight or that the market </w:t>
      </w:r>
      <w:r>
        <w:rPr>
          <w:rFonts w:cs="Arial" w:ascii="Arial" w:hAnsi="Arial"/>
          <w:i/>
        </w:rPr>
        <w:t>may</w:t>
      </w:r>
      <w:r>
        <w:rPr>
          <w:rFonts w:cs="Arial" w:ascii="Arial" w:hAnsi="Arial"/>
        </w:rPr>
        <w:t xml:space="preserve"> experience threats of market power (the definition of which is still symptomatically undefined).</w:t>
      </w:r>
    </w:p>
    <w:p>
      <w:pPr>
        <w:pStyle w:val="BodyTextStyle"/>
        <w:spacing w:lineRule="auto" w:line="480"/>
        <w:ind w:firstLine="720" w:end="0"/>
        <w:rPr>
          <w:rFonts w:ascii="Arial" w:hAnsi="Arial" w:cs="Arial"/>
        </w:rPr>
      </w:pPr>
      <w:r>
        <w:rPr>
          <w:rFonts w:cs="Arial" w:ascii="Arial" w:hAnsi="Arial"/>
        </w:rPr>
        <w:t xml:space="preserve">Against this backdrop, it is unreasonable to have the NYISO and Con Ed, like clockwork, seek yet another extension of the AMP and the Revised LMM.  Such market intervention measures may be viewed by certain constituencies within the NYISO as “politically correct,” but they have profound and serious consequences for energy prices and the long-term competitive viability of the markets that cannot be ignored.  </w:t>
      </w:r>
    </w:p>
    <w:p>
      <w:pPr>
        <w:pStyle w:val="BodyTextStyle"/>
        <w:spacing w:lineRule="auto" w:line="240"/>
        <w:ind w:hanging="720" w:start="1440" w:end="0"/>
        <w:rPr>
          <w:rFonts w:ascii="Arial" w:hAnsi="Arial" w:cs="Arial"/>
          <w:b/>
        </w:rPr>
      </w:pPr>
      <w:r>
        <w:rPr>
          <w:rFonts w:cs="Arial" w:ascii="Arial" w:hAnsi="Arial"/>
          <w:b/>
        </w:rPr>
        <w:t>B.</w:t>
        <w:tab/>
        <w:t>MITIGATION MEASURES SHOULD NOT SERVE A PART IN THE DISCUSSIONS TO FORM A NORTHEASTERN RTO</w:t>
      </w:r>
    </w:p>
    <w:p>
      <w:pPr>
        <w:pStyle w:val="BodyTextStyle"/>
        <w:spacing w:lineRule="auto" w:line="240"/>
        <w:ind w:firstLine="720" w:end="0"/>
        <w:rPr>
          <w:rFonts w:ascii="Arial" w:hAnsi="Arial" w:cs="Arial"/>
          <w:b/>
        </w:rPr>
      </w:pPr>
      <w:r>
        <w:rPr>
          <w:rFonts w:cs="Arial" w:ascii="Arial" w:hAnsi="Arial"/>
          <w:b/>
        </w:rPr>
      </w:r>
    </w:p>
    <w:p>
      <w:pPr>
        <w:pStyle w:val="BodyTextStyle"/>
        <w:spacing w:lineRule="auto" w:line="480"/>
        <w:ind w:firstLine="720" w:end="0"/>
        <w:rPr>
          <w:rFonts w:ascii="Arial" w:hAnsi="Arial" w:cs="Arial"/>
        </w:rPr>
      </w:pPr>
      <w:r>
        <w:rPr>
          <w:rFonts w:cs="Arial" w:ascii="Arial" w:hAnsi="Arial"/>
        </w:rPr>
        <w:t xml:space="preserve">As EPSA has said in previous filings, the use of unjustifiable mitigation measures will adversely affect the market by limiting market entry, slowing the development of risk mitigation tools, undermining demand-side response, and further exaggerating seams issues among the regions.  These are not trivial considerations; each is critical to the successful development of workably competitive regional markets.  </w:t>
      </w:r>
    </w:p>
    <w:p>
      <w:pPr>
        <w:pStyle w:val="BodyTextStyle"/>
        <w:spacing w:lineRule="auto" w:line="480"/>
        <w:ind w:firstLine="720" w:end="0"/>
        <w:rPr/>
      </w:pPr>
      <w:r>
        <w:rPr>
          <w:rFonts w:cs="Arial" w:ascii="Arial" w:hAnsi="Arial"/>
        </w:rPr>
        <w:t>At a time when capital is needed to attract new generation and to expand and improve the electric system infrastructure, the proposed actions would create uncertainty that will discourage and delay this much-needed investment.</w:t>
      </w:r>
      <w:r>
        <w:rPr>
          <w:rStyle w:val="FootnoteCharacters"/>
          <w:rStyle w:val="FootnoteReference"/>
          <w:rFonts w:cs="Arial" w:ascii="Arial" w:hAnsi="Arial"/>
        </w:rPr>
        <w:footnoteReference w:id="4"/>
      </w:r>
      <w:r>
        <w:rPr>
          <w:rFonts w:cs="Arial" w:ascii="Arial" w:hAnsi="Arial"/>
        </w:rPr>
        <w:t xml:space="preserve">  Indeed, the NYISO’s proposals are counterproductive to its own recommendation that substantial new investment – 8,600 MW of new installed capacity by 2005 – is needed in New York if the market is to operate as intended.</w:t>
      </w:r>
      <w:r>
        <w:rPr>
          <w:rStyle w:val="FootnoteCharacters"/>
          <w:rStyle w:val="FootnoteReference"/>
          <w:rFonts w:cs="Arial" w:ascii="Arial" w:hAnsi="Arial"/>
        </w:rPr>
        <w:footnoteReference w:id="5"/>
      </w:r>
      <w:r>
        <w:rPr>
          <w:rFonts w:cs="Arial" w:ascii="Arial" w:hAnsi="Arial"/>
        </w:rPr>
        <w:t xml:space="preserve">  Further, such market mitigation proposals are inconsistent with similar procedures in neighboring markets, and only promise to exasperate the seemingly endless problems that exist between and among the Northeast ISOs. In this respect, the Commission should not allow New York’s market inhibitions to spread throughout the entire Northeast market upon mediation to form a single RTO.</w:t>
      </w:r>
    </w:p>
    <w:p>
      <w:pPr>
        <w:pStyle w:val="BodyTextStyle"/>
        <w:numPr>
          <w:ilvl w:val="0"/>
          <w:numId w:val="2"/>
        </w:numPr>
        <w:spacing w:lineRule="auto" w:line="240"/>
        <w:rPr>
          <w:rFonts w:ascii="Arial" w:hAnsi="Arial" w:cs="Arial"/>
          <w:b/>
        </w:rPr>
      </w:pPr>
      <w:r>
        <w:rPr>
          <w:rFonts w:cs="Arial" w:ascii="Arial" w:hAnsi="Arial"/>
          <w:b/>
        </w:rPr>
        <w:t>THE AMP HAS NOT WORKED PROPERLY AND SHOULD NOT BE EXTENDED TO FURTHER COMPROMISE THE INTEGRITY OF THE NEW YORK MARKETS</w:t>
      </w:r>
    </w:p>
    <w:p>
      <w:pPr>
        <w:pStyle w:val="BodyTextStyle"/>
        <w:spacing w:lineRule="auto" w:line="240"/>
        <w:ind w:firstLine="720" w:end="0"/>
        <w:rPr>
          <w:rFonts w:ascii="Arial" w:hAnsi="Arial" w:cs="Arial"/>
          <w:b/>
        </w:rPr>
      </w:pPr>
      <w:r>
        <w:rPr>
          <w:rFonts w:cs="Arial" w:ascii="Arial" w:hAnsi="Arial"/>
          <w:b/>
        </w:rPr>
      </w:r>
    </w:p>
    <w:p>
      <w:pPr>
        <w:pStyle w:val="BodyTextStyle"/>
        <w:spacing w:lineRule="auto" w:line="480"/>
        <w:ind w:firstLine="720" w:end="0"/>
        <w:rPr/>
      </w:pPr>
      <w:r>
        <w:rPr>
          <w:rFonts w:cs="Arial" w:ascii="Arial" w:hAnsi="Arial"/>
        </w:rPr>
        <w:t>The AMP did not perform as designed and improperly mitigated economically justifiable bids.  Sadly, the NYISO proposed to extend the AMP without the completion of a detailed analysis of the AMP’s operation over the past summer.  In its filing, the NYSIO contends that “the AMP operated in accordance with its design, and served as an important backstop for the competitive performance of the New York Day-Ahead Market.”  The NYISO goes on to state that the AMP did not interfere with the competitive performance of such markets and that it performed as designed.  Yet, in a report presented on October 9, 2001 (October 9</w:t>
      </w:r>
      <w:r>
        <w:rPr>
          <w:rFonts w:cs="Arial" w:ascii="Arial" w:hAnsi="Arial"/>
          <w:vertAlign w:val="superscript"/>
        </w:rPr>
        <w:t>th</w:t>
      </w:r>
      <w:r>
        <w:rPr>
          <w:rFonts w:cs="Arial" w:ascii="Arial" w:hAnsi="Arial"/>
        </w:rPr>
        <w:t xml:space="preserve"> Report), to the Joint Scheduling and </w:t>
      </w:r>
    </w:p>
    <w:p>
      <w:pPr>
        <w:pStyle w:val="BodyTextStyle"/>
        <w:spacing w:lineRule="auto" w:line="480"/>
        <w:ind w:hanging="0" w:end="0"/>
        <w:rPr/>
      </w:pPr>
      <w:r>
        <w:rPr>
          <w:rFonts w:cs="Arial" w:ascii="Arial" w:hAnsi="Arial"/>
        </w:rPr>
        <w:t>Pricing and Market Structures Working Groups of the NYISO, the opposite is indeed the case – the AMP mitigated bids that did not result from the exercise of market power.  The report shows that two units were improperly mitigated on August 2</w:t>
      </w:r>
      <w:r>
        <w:rPr>
          <w:rFonts w:cs="Arial" w:ascii="Arial" w:hAnsi="Arial"/>
          <w:vertAlign w:val="superscript"/>
        </w:rPr>
        <w:t>nd</w:t>
      </w:r>
      <w:r>
        <w:rPr>
          <w:rFonts w:cs="Arial" w:ascii="Arial" w:hAnsi="Arial"/>
        </w:rPr>
        <w:t xml:space="preserve"> and August 10</w:t>
      </w:r>
      <w:r>
        <w:rPr>
          <w:rFonts w:cs="Arial" w:ascii="Arial" w:hAnsi="Arial"/>
          <w:vertAlign w:val="superscript"/>
        </w:rPr>
        <w:t>th</w:t>
      </w:r>
      <w:r>
        <w:rPr>
          <w:rFonts w:cs="Arial" w:ascii="Arial" w:hAnsi="Arial"/>
        </w:rPr>
        <w:t>, respectively.</w:t>
      </w:r>
    </w:p>
    <w:p>
      <w:pPr>
        <w:pStyle w:val="BodyTextStyle"/>
        <w:spacing w:lineRule="auto" w:line="480"/>
        <w:rPr/>
      </w:pPr>
      <w:r>
        <w:rPr>
          <w:rFonts w:cs="Arial" w:ascii="Arial" w:hAnsi="Arial"/>
        </w:rPr>
        <w:t>The AMP also has proven to improperly mitigated bids for quantities of energy that are so small as to be extremely unlikely to represent an exercise of market power – as designed, the AMP is supposed to only encompass units larger than 50 MW or units in portfolios larger than 50 MW.  As outlined in the October 9</w:t>
      </w:r>
      <w:r>
        <w:rPr>
          <w:rFonts w:cs="Arial" w:ascii="Arial" w:hAnsi="Arial"/>
          <w:vertAlign w:val="superscript"/>
        </w:rPr>
        <w:t>th</w:t>
      </w:r>
      <w:r>
        <w:rPr>
          <w:rFonts w:cs="Arial" w:ascii="Arial" w:hAnsi="Arial"/>
        </w:rPr>
        <w:t xml:space="preserve"> Report, very small amounts of MW were mitigated on July 23</w:t>
      </w:r>
      <w:r>
        <w:rPr>
          <w:rFonts w:cs="Arial" w:ascii="Arial" w:hAnsi="Arial"/>
          <w:vertAlign w:val="superscript"/>
        </w:rPr>
        <w:t>rd</w:t>
      </w:r>
      <w:r>
        <w:rPr>
          <w:rFonts w:cs="Arial" w:ascii="Arial" w:hAnsi="Arial"/>
        </w:rPr>
        <w:t xml:space="preserve"> and 24</w:t>
      </w:r>
      <w:r>
        <w:rPr>
          <w:rFonts w:cs="Arial" w:ascii="Arial" w:hAnsi="Arial"/>
          <w:vertAlign w:val="superscript"/>
        </w:rPr>
        <w:t>th</w:t>
      </w:r>
      <w:r>
        <w:rPr>
          <w:rFonts w:cs="Arial" w:ascii="Arial" w:hAnsi="Arial"/>
        </w:rPr>
        <w:t>, 2001.  It goes on to report that more units were mitigated due to flawed calculations of reference level curves.  The Commission should therefore not further approve the existence of a proposal that improperly mitigates economically justifiable bids.</w:t>
      </w:r>
    </w:p>
    <w:p>
      <w:pPr>
        <w:pStyle w:val="BodyTextStyle"/>
        <w:spacing w:lineRule="auto" w:line="240"/>
        <w:ind w:hanging="720" w:start="720" w:end="0"/>
        <w:rPr/>
      </w:pPr>
      <w:r>
        <w:rPr>
          <w:rFonts w:cs="Arial" w:ascii="Arial" w:hAnsi="Arial"/>
          <w:b/>
          <w:caps/>
        </w:rPr>
        <w:t>IV.</w:t>
        <w:tab/>
        <w:t>Con Ed has ALSO failed to justify its request to extend the Revised LMM and has not adheared to directives of the Commission’s Orders</w:t>
      </w:r>
      <w:r>
        <w:rPr>
          <w:rFonts w:cs="Arial" w:ascii="Arial" w:hAnsi="Arial"/>
        </w:rPr>
        <w:t xml:space="preserve"> </w:t>
      </w:r>
    </w:p>
    <w:p>
      <w:pPr>
        <w:pStyle w:val="BodyTextStyle"/>
        <w:spacing w:lineRule="auto" w:line="240"/>
        <w:ind w:hanging="0" w:end="0"/>
        <w:rPr>
          <w:rFonts w:ascii="Arial" w:hAnsi="Arial" w:cs="Arial"/>
        </w:rPr>
      </w:pPr>
      <w:r>
        <w:rPr>
          <w:rFonts w:cs="Arial" w:ascii="Arial" w:hAnsi="Arial"/>
        </w:rPr>
      </w:r>
    </w:p>
    <w:p>
      <w:pPr>
        <w:pStyle w:val="BodyTextStyle"/>
        <w:spacing w:lineRule="auto" w:line="480"/>
        <w:ind w:firstLine="720" w:end="0"/>
        <w:rPr/>
      </w:pPr>
      <w:r>
        <w:rPr>
          <w:rFonts w:cs="Arial" w:ascii="Arial" w:hAnsi="Arial"/>
        </w:rPr>
        <w:t>In its July 20</w:t>
      </w:r>
      <w:r>
        <w:rPr>
          <w:rFonts w:cs="Arial" w:ascii="Arial" w:hAnsi="Arial"/>
          <w:vertAlign w:val="superscript"/>
        </w:rPr>
        <w:t>th</w:t>
      </w:r>
      <w:r>
        <w:rPr>
          <w:rFonts w:cs="Arial" w:ascii="Arial" w:hAnsi="Arial"/>
        </w:rPr>
        <w:t xml:space="preserve"> Order, the Commission directed the NYISO, working with market participants through a stakeholder process, to evaluate and propose the appropriate extension or modification of the Revised LMM for period after October 31, 2001, and address the concerns regarding coordination of NYISO’s other mitigation measures.</w:t>
      </w:r>
      <w:r>
        <w:rPr>
          <w:rStyle w:val="FootnoteCharacters"/>
          <w:rStyle w:val="FootnoteReference"/>
          <w:rFonts w:cs="Arial" w:ascii="Arial" w:hAnsi="Arial"/>
        </w:rPr>
        <w:footnoteReference w:id="6"/>
      </w:r>
      <w:r>
        <w:rPr>
          <w:rFonts w:cs="Arial" w:ascii="Arial" w:hAnsi="Arial"/>
        </w:rPr>
        <w:t xml:space="preserve">  Con Ed concedes that this process has not occurred.  It notes that the NYISO could not develop the software needed to implement the Revised LMM and does not have the necessary data to conduct a legitimate evaluation of the process.  Furthermore, NYISO market participants have not been presented with considerations concerning the Revised LMM and its relationship to the ISO’s other mitigation measures such as the AMP and $1,000 bid caps. </w:t>
      </w:r>
    </w:p>
    <w:p>
      <w:pPr>
        <w:pStyle w:val="BodyTextStyle"/>
        <w:spacing w:lineRule="auto" w:line="480"/>
        <w:ind w:firstLine="720" w:end="0"/>
        <w:rPr/>
      </w:pPr>
      <w:r>
        <w:rPr>
          <w:rFonts w:cs="Arial" w:ascii="Arial" w:hAnsi="Arial"/>
        </w:rPr>
        <w:t>Reinforcing its directives in the July 20</w:t>
      </w:r>
      <w:r>
        <w:rPr>
          <w:rFonts w:cs="Arial" w:ascii="Arial" w:hAnsi="Arial"/>
          <w:vertAlign w:val="superscript"/>
        </w:rPr>
        <w:t>th</w:t>
      </w:r>
      <w:r>
        <w:rPr>
          <w:rFonts w:cs="Arial" w:ascii="Arial" w:hAnsi="Arial"/>
        </w:rPr>
        <w:t xml:space="preserve"> Order, the Commission, in its October 15, 2001 Order denying rehearing in the Con Ed dockets, directed Con Ed, upon request to extend additional mitigation, </w:t>
      </w:r>
    </w:p>
    <w:p>
      <w:pPr>
        <w:pStyle w:val="BodyTextStyle"/>
        <w:spacing w:lineRule="auto" w:line="240"/>
        <w:ind w:hanging="0" w:start="720" w:end="0"/>
        <w:rPr>
          <w:rFonts w:ascii="Arial" w:hAnsi="Arial" w:cs="Arial"/>
        </w:rPr>
      </w:pPr>
      <w:r>
        <w:rPr>
          <w:rFonts w:cs="Arial" w:ascii="Arial" w:hAnsi="Arial"/>
        </w:rPr>
        <w:t>“</w:t>
      </w:r>
      <w:r>
        <w:rPr>
          <w:rFonts w:cs="Arial" w:ascii="Arial" w:hAnsi="Arial"/>
        </w:rPr>
        <w:t>to address the generators’ concerns…..In particular… how the proposed mitigation will work in conjunction with other mitigation measures already in effect or proposed for NYISO.  And the parties will also need to explain whether the mitigation is designed to apply only in must-run situations or more broadly.  If more broadly, the party should justify why that is appropriate given the circumstances.”</w:t>
      </w:r>
      <w:r>
        <w:rPr>
          <w:rStyle w:val="FootnoteCharacters"/>
          <w:rStyle w:val="FootnoteReference"/>
          <w:rFonts w:cs="Arial" w:ascii="Arial" w:hAnsi="Arial"/>
        </w:rPr>
        <w:footnoteReference w:id="7"/>
      </w:r>
    </w:p>
    <w:p>
      <w:pPr>
        <w:pStyle w:val="BodyTextStyle"/>
        <w:spacing w:lineRule="auto" w:line="240"/>
        <w:ind w:hanging="0" w:end="0"/>
        <w:rPr>
          <w:rFonts w:ascii="Arial" w:hAnsi="Arial" w:cs="Arial"/>
        </w:rPr>
      </w:pPr>
      <w:r>
        <w:rPr>
          <w:rFonts w:cs="Arial" w:ascii="Arial" w:hAnsi="Arial"/>
        </w:rPr>
      </w:r>
    </w:p>
    <w:p>
      <w:pPr>
        <w:pStyle w:val="BodyTextStyle"/>
        <w:spacing w:lineRule="auto" w:line="480"/>
        <w:ind w:hanging="0" w:end="0"/>
        <w:rPr>
          <w:rFonts w:ascii="Arial" w:hAnsi="Arial" w:cs="Arial"/>
        </w:rPr>
      </w:pPr>
      <w:r>
        <w:rPr>
          <w:rFonts w:cs="Arial" w:ascii="Arial" w:hAnsi="Arial"/>
        </w:rPr>
        <w:t>The Con Ed filing plainly does not address these issues and should not be approved to extend until October 31, 2001.</w:t>
      </w:r>
    </w:p>
    <w:p>
      <w:pPr>
        <w:pStyle w:val="BodyTextStyle"/>
        <w:spacing w:lineRule="auto" w:line="480"/>
        <w:ind w:hanging="0" w:end="0"/>
        <w:rPr>
          <w:rFonts w:ascii="Arial" w:hAnsi="Arial" w:cs="Arial"/>
          <w:b/>
        </w:rPr>
      </w:pPr>
      <w:r>
        <w:rPr>
          <w:rFonts w:cs="Arial" w:ascii="Arial" w:hAnsi="Arial"/>
          <w:b/>
        </w:rPr>
        <w:t>CONCLUSION</w:t>
      </w:r>
    </w:p>
    <w:p>
      <w:pPr>
        <w:pStyle w:val="BodyText2"/>
        <w:ind w:firstLine="720" w:end="0"/>
        <w:rPr/>
      </w:pPr>
      <w:r>
        <w:rPr>
          <w:color w:val="000000"/>
        </w:rPr>
        <w:t xml:space="preserve">EPSA respectfully requests leave to intervene in, and become a party to, this proceeding, and to be afforded all rights appropriate to that status.  </w:t>
      </w:r>
      <w:r>
        <w:rPr/>
        <w:t xml:space="preserve">As discussed above, EPSA respectfully urges the Commission to reject the NYISO’s AMP and Con Ed’s Revised LMM extension requests.  Such repeated extensions and unnecessary layering of market control mechanisms are completely contrary to the needs of competitive markets.  </w:t>
      </w:r>
    </w:p>
    <w:tbl>
      <w:tblPr>
        <w:tblW w:w="10008" w:type="dxa"/>
        <w:jc w:val="start"/>
        <w:tblInd w:w="0" w:type="dxa"/>
        <w:tblLayout w:type="fixed"/>
        <w:tblCellMar>
          <w:top w:w="0" w:type="dxa"/>
          <w:start w:w="108" w:type="dxa"/>
          <w:bottom w:w="0" w:type="dxa"/>
          <w:end w:w="108" w:type="dxa"/>
        </w:tblCellMar>
      </w:tblPr>
      <w:tblGrid>
        <w:gridCol w:w="4878"/>
        <w:gridCol w:w="5130"/>
      </w:tblGrid>
      <w:tr>
        <w:trPr/>
        <w:tc>
          <w:tcPr>
            <w:tcW w:w="4878" w:type="dxa"/>
            <w:tcBorders/>
          </w:tcPr>
          <w:p>
            <w:pPr>
              <w:pStyle w:val="Normal"/>
              <w:spacing w:lineRule="auto" w:line="480"/>
              <w:rPr>
                <w:rFonts w:ascii="Arial" w:hAnsi="Arial" w:cs="Arial"/>
                <w:sz w:val="24"/>
              </w:rPr>
            </w:pPr>
            <w:r>
              <w:rPr>
                <w:rFonts w:cs="Arial" w:ascii="Arial" w:hAnsi="Arial"/>
                <w:sz w:val="24"/>
              </w:rPr>
              <w:t>Dated: October 19, 2001</w:t>
            </w:r>
          </w:p>
        </w:tc>
        <w:tc>
          <w:tcPr>
            <w:tcW w:w="5130" w:type="dxa"/>
            <w:tcBorders/>
          </w:tcPr>
          <w:p>
            <w:pPr>
              <w:pStyle w:val="Normal"/>
              <w:rPr>
                <w:rFonts w:ascii="Arial" w:hAnsi="Arial" w:cs="Arial"/>
                <w:sz w:val="24"/>
              </w:rPr>
            </w:pPr>
            <w:r>
              <w:rPr>
                <w:rFonts w:cs="Arial" w:ascii="Arial" w:hAnsi="Arial"/>
                <w:sz w:val="24"/>
              </w:rPr>
              <w:t>Respectfully submitted,</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t>_____________________________</w:t>
            </w:r>
          </w:p>
        </w:tc>
      </w:tr>
      <w:tr>
        <w:trPr/>
        <w:tc>
          <w:tcPr>
            <w:tcW w:w="4878" w:type="dxa"/>
            <w:tcBorders/>
          </w:tcPr>
          <w:p>
            <w:pPr>
              <w:pStyle w:val="Header"/>
              <w:tabs>
                <w:tab w:val="clear" w:pos="4320"/>
                <w:tab w:val="clear" w:pos="8640"/>
              </w:tabs>
              <w:snapToGrid w:val="false"/>
              <w:spacing w:lineRule="auto" w:line="480"/>
              <w:rPr>
                <w:rFonts w:ascii="Arial" w:hAnsi="Arial" w:cs="Arial"/>
                <w:sz w:val="24"/>
              </w:rPr>
            </w:pPr>
            <w:r>
              <w:rPr>
                <w:rFonts w:cs="Arial" w:ascii="Arial" w:hAnsi="Arial"/>
                <w:sz w:val="24"/>
              </w:rPr>
            </w:r>
          </w:p>
        </w:tc>
        <w:tc>
          <w:tcPr>
            <w:tcW w:w="5130" w:type="dxa"/>
            <w:tcBorders/>
          </w:tcPr>
          <w:p>
            <w:pPr>
              <w:pStyle w:val="Normal"/>
              <w:rPr>
                <w:rFonts w:ascii="Arial" w:hAnsi="Arial" w:cs="Arial"/>
                <w:sz w:val="24"/>
              </w:rPr>
            </w:pPr>
            <w:r>
              <w:rPr>
                <w:rFonts w:cs="Arial" w:ascii="Arial" w:hAnsi="Arial"/>
                <w:sz w:val="24"/>
              </w:rPr>
              <w:t>Julie Simon, Vice President of Policy</w:t>
            </w:r>
          </w:p>
          <w:p>
            <w:pPr>
              <w:pStyle w:val="Normal"/>
              <w:rPr>
                <w:rFonts w:ascii="Arial" w:hAnsi="Arial" w:cs="Arial"/>
                <w:sz w:val="24"/>
              </w:rPr>
            </w:pPr>
            <w:r>
              <w:rPr>
                <w:rFonts w:cs="Arial" w:ascii="Arial" w:hAnsi="Arial"/>
                <w:sz w:val="24"/>
              </w:rPr>
              <w:t>Erin N. Perrigo, Manager of Policy</w:t>
            </w:r>
          </w:p>
          <w:p>
            <w:pPr>
              <w:pStyle w:val="Normal"/>
              <w:rPr>
                <w:rFonts w:ascii="Arial" w:hAnsi="Arial" w:cs="Arial"/>
                <w:sz w:val="24"/>
              </w:rPr>
            </w:pPr>
            <w:r>
              <w:rPr>
                <w:rFonts w:cs="Arial" w:ascii="Arial" w:hAnsi="Arial"/>
                <w:sz w:val="24"/>
              </w:rPr>
              <w:t>Electric Power Supply Association</w:t>
            </w:r>
          </w:p>
          <w:p>
            <w:pPr>
              <w:pStyle w:val="Normal"/>
              <w:rPr/>
            </w:pPr>
            <w:r>
              <w:rPr>
                <w:rFonts w:cs="Arial" w:ascii="Arial" w:hAnsi="Arial"/>
                <w:sz w:val="24"/>
              </w:rPr>
              <w:t>1401 New York Avenue, 11</w:t>
            </w:r>
            <w:r>
              <w:rPr>
                <w:rFonts w:cs="Arial" w:ascii="Arial" w:hAnsi="Arial"/>
                <w:sz w:val="24"/>
                <w:vertAlign w:val="superscript"/>
              </w:rPr>
              <w:t>th</w:t>
            </w:r>
            <w:r>
              <w:rPr>
                <w:rFonts w:cs="Arial" w:ascii="Arial" w:hAnsi="Arial"/>
                <w:sz w:val="24"/>
              </w:rPr>
              <w:t xml:space="preserve"> Floor</w:t>
            </w:r>
          </w:p>
          <w:p>
            <w:pPr>
              <w:pStyle w:val="Normal"/>
              <w:rPr>
                <w:rFonts w:ascii="Arial" w:hAnsi="Arial" w:cs="Arial"/>
                <w:sz w:val="24"/>
              </w:rPr>
            </w:pPr>
            <w:r>
              <w:rPr>
                <w:rFonts w:cs="Arial" w:ascii="Arial" w:hAnsi="Arial"/>
                <w:sz w:val="24"/>
              </w:rPr>
              <w:t>Washington, DC  20005</w:t>
            </w:r>
          </w:p>
          <w:p>
            <w:pPr>
              <w:pStyle w:val="Normal"/>
              <w:rPr>
                <w:rFonts w:ascii="Arial" w:hAnsi="Arial" w:cs="Arial"/>
                <w:sz w:val="24"/>
              </w:rPr>
            </w:pPr>
            <w:r>
              <w:rPr>
                <w:rFonts w:cs="Arial" w:ascii="Arial" w:hAnsi="Arial"/>
                <w:sz w:val="24"/>
              </w:rPr>
              <w:t>(202) 628-8200</w:t>
            </w:r>
          </w:p>
          <w:p>
            <w:pPr>
              <w:pStyle w:val="Normal"/>
              <w:rPr>
                <w:rFonts w:ascii="Arial" w:hAnsi="Arial" w:cs="Arial"/>
                <w:sz w:val="24"/>
              </w:rPr>
            </w:pPr>
            <w:r>
              <w:rPr>
                <w:rFonts w:cs="Arial" w:ascii="Arial" w:hAnsi="Arial"/>
                <w:sz w:val="24"/>
              </w:rPr>
            </w:r>
          </w:p>
        </w:tc>
      </w:tr>
      <w:tr>
        <w:trPr/>
        <w:tc>
          <w:tcPr>
            <w:tcW w:w="4878" w:type="dxa"/>
            <w:tcBorders/>
          </w:tcPr>
          <w:p>
            <w:pPr>
              <w:pStyle w:val="Center"/>
              <w:snapToGrid w:val="false"/>
              <w:spacing w:lineRule="auto" w:line="480" w:before="0" w:after="0"/>
              <w:rPr>
                <w:rFonts w:ascii="Arial" w:hAnsi="Arial" w:cs="Arial"/>
                <w:sz w:val="24"/>
              </w:rPr>
            </w:pPr>
            <w:r>
              <w:rPr>
                <w:rFonts w:cs="Arial" w:ascii="Arial" w:hAnsi="Arial"/>
                <w:sz w:val="24"/>
              </w:rPr>
            </w:r>
          </w:p>
        </w:tc>
        <w:tc>
          <w:tcPr>
            <w:tcW w:w="5130" w:type="dxa"/>
            <w:tcBorders/>
          </w:tcPr>
          <w:p>
            <w:pPr>
              <w:pStyle w:val="Normal"/>
              <w:snapToGrid w:val="false"/>
              <w:spacing w:lineRule="auto" w:line="480"/>
              <w:rPr>
                <w:rFonts w:ascii="Arial" w:hAnsi="Arial" w:cs="Arial"/>
                <w:sz w:val="24"/>
              </w:rPr>
            </w:pPr>
            <w:r>
              <w:rPr>
                <w:rFonts w:cs="Arial" w:ascii="Arial" w:hAnsi="Arial"/>
                <w:sz w:val="24"/>
              </w:rPr>
            </w:r>
          </w:p>
        </w:tc>
      </w:tr>
    </w:tbl>
    <w:p>
      <w:pPr>
        <w:pStyle w:val="TitleStyle"/>
        <w:spacing w:lineRule="auto" w:line="480"/>
        <w:rPr>
          <w:rFonts w:ascii="Arial" w:hAnsi="Arial" w:cs="Arial"/>
          <w:u w:val="single"/>
        </w:rPr>
      </w:pPr>
      <w:r>
        <w:rPr>
          <w:rFonts w:cs="Arial" w:ascii="Arial" w:hAnsi="Arial"/>
          <w:u w:val="single"/>
        </w:rPr>
        <w:t>CErtificate of service</w:t>
      </w:r>
    </w:p>
    <w:p>
      <w:pPr>
        <w:pStyle w:val="TitleStyle"/>
        <w:spacing w:lineRule="auto" w:line="480"/>
        <w:rPr>
          <w:rFonts w:ascii="Arial" w:hAnsi="Arial" w:cs="Arial"/>
          <w:u w:val="single"/>
        </w:rPr>
      </w:pPr>
      <w:r>
        <w:rPr>
          <w:rFonts w:cs="Arial" w:ascii="Arial" w:hAnsi="Arial"/>
          <w:u w:val="single"/>
        </w:rPr>
      </w:r>
    </w:p>
    <w:p>
      <w:pPr>
        <w:pStyle w:val="BodyTextStyle"/>
        <w:spacing w:lineRule="auto" w:line="480"/>
        <w:rPr>
          <w:rFonts w:ascii="Arial" w:hAnsi="Arial" w:cs="Arial"/>
        </w:rPr>
      </w:pPr>
      <w:r>
        <w:rPr>
          <w:rFonts w:cs="Arial" w:ascii="Arial" w:hAnsi="Arial"/>
        </w:rPr>
        <w:t>I hereby certify that I have served a copy of the foregoing document by first class United States mail, postage prepaid, upon each person designated on the official service list compiled by the Secretary in this proceeding.</w:t>
      </w:r>
    </w:p>
    <w:p>
      <w:pPr>
        <w:pStyle w:val="BodyText"/>
        <w:spacing w:lineRule="auto" w:line="480"/>
        <w:rPr/>
      </w:pPr>
      <w:r>
        <w:rPr>
          <w:rFonts w:cs="Arial" w:ascii="Arial" w:hAnsi="Arial"/>
          <w:caps/>
        </w:rPr>
        <w:t>d</w:t>
      </w:r>
      <w:r>
        <w:rPr>
          <w:rFonts w:cs="Arial" w:ascii="Arial" w:hAnsi="Arial"/>
        </w:rPr>
        <w:t>ated at Washington, D.C. this 19</w:t>
      </w:r>
      <w:r>
        <w:rPr>
          <w:rFonts w:cs="Arial" w:ascii="Arial" w:hAnsi="Arial"/>
          <w:vertAlign w:val="superscript"/>
        </w:rPr>
        <w:t>th</w:t>
      </w:r>
      <w:r>
        <w:rPr>
          <w:rFonts w:cs="Arial" w:ascii="Arial" w:hAnsi="Arial"/>
        </w:rPr>
        <w:t xml:space="preserve"> day of October 2001.</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ab/>
        <w:tab/>
        <w:tab/>
        <w:tab/>
        <w:tab/>
        <w:tab/>
        <w:tab/>
        <w:tab/>
        <w:tab/>
        <w:tab/>
        <w:tab/>
      </w:r>
    </w:p>
    <w:p>
      <w:pPr>
        <w:pStyle w:val="SignatureBlock"/>
        <w:spacing w:lineRule="auto" w:line="240"/>
        <w:ind w:start="3600" w:end="0"/>
        <w:rPr>
          <w:rFonts w:ascii="Arial" w:hAnsi="Arial" w:cs="Arial"/>
        </w:rPr>
      </w:pPr>
      <w:r>
        <w:rPr>
          <w:rFonts w:cs="Arial" w:ascii="Arial" w:hAnsi="Arial"/>
        </w:rPr>
        <w:t>___________________________________</w:t>
      </w:r>
    </w:p>
    <w:p>
      <w:pPr>
        <w:pStyle w:val="SignatureBlock"/>
        <w:spacing w:lineRule="auto" w:line="240"/>
        <w:ind w:start="3600" w:end="0"/>
        <w:rPr>
          <w:rFonts w:ascii="Arial" w:hAnsi="Arial" w:cs="Arial"/>
        </w:rPr>
      </w:pPr>
      <w:r>
        <w:rPr>
          <w:rFonts w:cs="Arial" w:ascii="Arial" w:hAnsi="Arial"/>
        </w:rPr>
        <w:t>Julie Simon</w:t>
      </w:r>
    </w:p>
    <w:p>
      <w:pPr>
        <w:pStyle w:val="Normal"/>
        <w:spacing w:lineRule="auto" w:line="480"/>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spacing w:lineRule="auto" w:line="480"/>
        <w:ind w:firstLine="720" w:end="0"/>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10">
                <wp:simplePos x="0" y="0"/>
                <wp:positionH relativeFrom="column">
                  <wp:posOffset>-822960</wp:posOffset>
                </wp:positionH>
                <wp:positionV relativeFrom="paragraph">
                  <wp:posOffset>635</wp:posOffset>
                </wp:positionV>
                <wp:extent cx="91440" cy="91440"/>
                <wp:effectExtent l="5080" t="5080" r="5080" b="5080"/>
                <wp:wrapNone/>
                <wp:docPr id="5"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p>
      <w:pPr>
        <w:pStyle w:val="Normal"/>
        <w:spacing w:lineRule="auto" w:line="480"/>
        <w:rPr>
          <w:rFonts w:ascii="Arial" w:hAnsi="Arial" w:cs="Arial"/>
        </w:rPr>
      </w:pPr>
      <w:r>
        <w:rPr>
          <w:rFonts w:cs="Arial" w:ascii="Arial" w:hAnsi="Arial"/>
        </w:rPr>
      </w:r>
    </w:p>
    <w:sectPr>
      <w:headerReference w:type="default" r:id="rId2"/>
      <w:footerReference w:type="default" r:id="rId3"/>
      <w:footnotePr>
        <w:numFmt w:val="decimal"/>
      </w:footnotePr>
      <w:type w:val="nextPage"/>
      <w:pgSz w:w="12240" w:h="15840"/>
      <w:pgMar w:left="1440" w:right="1440" w:gutter="0" w:header="432"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9">
              <wp:simplePos x="0" y="0"/>
              <wp:positionH relativeFrom="page">
                <wp:posOffset>3749675</wp:posOffset>
              </wp:positionH>
              <wp:positionV relativeFrom="paragraph">
                <wp:posOffset>-31115</wp:posOffset>
              </wp:positionV>
              <wp:extent cx="71120" cy="165100"/>
              <wp:effectExtent l="0" t="0" r="0" b="0"/>
              <wp:wrapSquare wrapText="bothSides"/>
              <wp:docPr id="6" name="Frame2"/>
              <a:graphic xmlns:a="http://schemas.openxmlformats.org/drawingml/2006/main">
                <a:graphicData uri="http://schemas.microsoft.com/office/word/2010/wordprocessingShape">
                  <wps:wsp>
                    <wps:cNvSpPr txBox="1"/>
                    <wps:spPr>
                      <a:xfrm>
                        <a:off x="0" y="0"/>
                        <a:ext cx="71120" cy="165100"/>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8</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3pt;mso-wrap-distance-left:0pt;mso-wrap-distance-right:0pt;mso-wrap-distance-top:0pt;mso-wrap-distance-bottom:0pt;margin-top:-2.45pt;mso-position-vertical-relative:text;margin-left:295.25pt;mso-position-horizontal-relative:page">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8</w:t>
                    </w:r>
                    <w:r>
                      <w:rPr>
                        <w:rStyle w:val="PageNumber"/>
                        <w:sz w:val="20"/>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pPr>
      <w:r>
        <w:rPr>
          <w:rStyle w:val="FootnoteCharacters"/>
        </w:rPr>
        <w:footnoteRef/>
      </w:r>
      <w:r>
        <w:rPr>
          <w:rFonts w:cs="Arial" w:ascii="Arial" w:hAnsi="Arial"/>
          <w:sz w:val="20"/>
        </w:rPr>
        <w:t xml:space="preserve"> </w:t>
      </w:r>
      <w:r>
        <w:rPr>
          <w:rFonts w:cs="Arial" w:ascii="Arial" w:hAnsi="Arial"/>
          <w:sz w:val="20"/>
        </w:rPr>
        <w:t>The comments contained in this filing represent the position of EPSA as an organization, but not necessarily the views of any particular member with respect to any issue.</w:t>
      </w:r>
    </w:p>
  </w:footnote>
  <w:footnote w:id="3">
    <w:p>
      <w:pPr>
        <w:pStyle w:val="FootnoteText"/>
        <w:spacing w:before="0" w:after="0"/>
        <w:rPr/>
      </w:pPr>
      <w:r>
        <w:rPr>
          <w:rStyle w:val="FootnoteCharacters"/>
        </w:rPr>
        <w:footnoteRef/>
      </w:r>
      <w:r>
        <w:rPr>
          <w:rFonts w:cs="Arial" w:ascii="Arial" w:hAnsi="Arial"/>
          <w:sz w:val="20"/>
        </w:rPr>
        <w:t xml:space="preserve"> </w:t>
      </w:r>
      <w:r>
        <w:rPr>
          <w:rFonts w:cs="Arial" w:ascii="Arial" w:hAnsi="Arial"/>
          <w:i/>
          <w:sz w:val="20"/>
        </w:rPr>
        <w:t>New York Independent System Operator, Inc.</w:t>
      </w:r>
      <w:r>
        <w:rPr>
          <w:rFonts w:cs="Arial" w:ascii="Arial" w:hAnsi="Arial"/>
          <w:sz w:val="20"/>
        </w:rPr>
        <w:t>, 95 FERC ¶ 61,471 at 62,690 (2001).</w:t>
      </w:r>
    </w:p>
  </w:footnote>
  <w:footnote w:id="4">
    <w:p>
      <w:pPr>
        <w:pStyle w:val="FootnoteText"/>
        <w:spacing w:before="0" w:after="0"/>
        <w:rPr/>
      </w:pPr>
      <w:r>
        <w:rPr>
          <w:rStyle w:val="FootnoteCharacters"/>
        </w:rPr>
        <w:footnoteRef/>
      </w:r>
      <w:r>
        <w:rPr>
          <w:rFonts w:cs="Arial" w:ascii="Arial" w:hAnsi="Arial"/>
          <w:sz w:val="20"/>
        </w:rPr>
        <w:t xml:space="preserve"> </w:t>
      </w:r>
      <w:r>
        <w:rPr>
          <w:rFonts w:cs="Arial" w:ascii="Arial" w:hAnsi="Arial"/>
          <w:sz w:val="20"/>
        </w:rPr>
        <w:t xml:space="preserve">The NYISO suggests that the 33,000 MW queue of new generation in New York confirms that the AMP and Revised LMM have not interfered with the price signals needed to attract new suppliers.  Extending the proposals for yet </w:t>
      </w:r>
      <w:r>
        <w:rPr>
          <w:rFonts w:cs="Arial" w:ascii="Arial" w:hAnsi="Arial"/>
          <w:i/>
          <w:sz w:val="20"/>
        </w:rPr>
        <w:t>another calendar year</w:t>
      </w:r>
      <w:r>
        <w:rPr>
          <w:rFonts w:cs="Arial" w:ascii="Arial" w:hAnsi="Arial"/>
          <w:sz w:val="20"/>
        </w:rPr>
        <w:t>, as requested here, was clearly not contemplated.  Moreover, the issue is not what is in the queue but what sort of signal the Commission and New York want to send to the investment community about investing in New York over the long term.</w:t>
      </w:r>
    </w:p>
  </w:footnote>
  <w:footnote w:id="5">
    <w:p>
      <w:pPr>
        <w:pStyle w:val="FootnoteText"/>
        <w:spacing w:before="0" w:after="0"/>
        <w:rPr/>
      </w:pPr>
      <w:r>
        <w:rPr>
          <w:rStyle w:val="FootnoteCharacters"/>
        </w:rPr>
        <w:footnoteRef/>
      </w:r>
      <w:r>
        <w:rPr>
          <w:rFonts w:cs="Arial" w:ascii="Arial" w:hAnsi="Arial"/>
          <w:sz w:val="20"/>
        </w:rPr>
        <w:t xml:space="preserve"> </w:t>
      </w:r>
      <w:r>
        <w:rPr>
          <w:rFonts w:cs="Arial" w:ascii="Arial" w:hAnsi="Arial"/>
          <w:sz w:val="20"/>
        </w:rPr>
        <w:t>Power Alert: New York Energy Crossroads, March 2001 Report by the New York Independent System Operator, Inc., at 6-8.</w:t>
      </w:r>
    </w:p>
  </w:footnote>
  <w:footnote w:id="6">
    <w:p>
      <w:pPr>
        <w:pStyle w:val="FootnoteText"/>
        <w:spacing w:before="0" w:after="0"/>
        <w:rPr/>
      </w:pPr>
      <w:r>
        <w:rPr>
          <w:rStyle w:val="FootnoteCharacters"/>
        </w:rPr>
        <w:footnoteRef/>
      </w:r>
      <w:r>
        <w:rPr>
          <w:rFonts w:cs="Arial" w:ascii="Arial" w:hAnsi="Arial"/>
          <w:sz w:val="20"/>
        </w:rPr>
        <w:t xml:space="preserve"> </w:t>
      </w:r>
      <w:r>
        <w:rPr>
          <w:rFonts w:cs="Arial" w:ascii="Arial" w:hAnsi="Arial"/>
          <w:i/>
          <w:sz w:val="20"/>
        </w:rPr>
        <w:t>Consolidated Edison Company of New York, Inc.</w:t>
      </w:r>
      <w:r>
        <w:rPr>
          <w:rFonts w:cs="Arial" w:ascii="Arial" w:hAnsi="Arial"/>
          <w:sz w:val="20"/>
        </w:rPr>
        <w:t>, Order on Rehearing Accepting Revised Market Power Mitigation Measures, as Modified, for Filing, 96 FERC ¶ 61,095 (2001).</w:t>
      </w:r>
    </w:p>
  </w:footnote>
  <w:footnote w:id="7">
    <w:p>
      <w:pPr>
        <w:pStyle w:val="FootnoteText"/>
        <w:spacing w:before="0" w:after="0"/>
        <w:rPr/>
      </w:pPr>
      <w:r>
        <w:rPr>
          <w:rStyle w:val="FootnoteCharacters"/>
        </w:rPr>
        <w:footnoteRef/>
      </w:r>
      <w:r>
        <w:rPr>
          <w:rFonts w:cs="Arial" w:ascii="Arial" w:hAnsi="Arial"/>
          <w:sz w:val="20"/>
        </w:rPr>
        <w:t xml:space="preserve"> </w:t>
      </w:r>
      <w:r>
        <w:rPr>
          <w:rFonts w:cs="Arial" w:ascii="Arial" w:hAnsi="Arial"/>
          <w:i/>
          <w:sz w:val="20"/>
        </w:rPr>
        <w:t>Consolidated Edison Company of New York, Inc.</w:t>
      </w:r>
      <w:r>
        <w:rPr>
          <w:rFonts w:cs="Arial" w:ascii="Arial" w:hAnsi="Arial"/>
          <w:sz w:val="20"/>
        </w:rPr>
        <w:t>, 97 FERC ¶61,050 at 6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double"/>
      </w:rPr>
    </w:pPr>
    <w:r>
      <w:rPr>
        <w:rFonts w:cs="Arial" w:ascii="Arial" w:hAnsi="Arial"/>
        <w:b/>
        <w:u w:val="double"/>
      </w:rPr>
      <w:t>DRAFT</w:t>
    </w:r>
  </w:p>
  <w:p>
    <w:pPr>
      <w:pStyle w:val="Header"/>
      <w:jc w:val="end"/>
      <w:rPr>
        <w:rFonts w:ascii="Arial" w:hAnsi="Arial" w:cs="Arial"/>
        <w:b/>
        <w:u w:val="double"/>
      </w:rPr>
    </w:pPr>
    <w:r>
      <w:rPr>
        <w:rFonts w:cs="Arial" w:ascii="Arial" w:hAnsi="Arial"/>
        <w:b/>
        <w:u w:val="double"/>
      </w:rPr>
      <w:t>10/16/01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3"/>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spacing w:lineRule="exact" w:line="260" w:before="260" w:after="0"/>
      <w:outlineLvl w:val="0"/>
    </w:pPr>
    <w:rPr>
      <w:rFonts w:ascii="Galliard;Times New Roman" w:hAnsi="Galliard;Times New Roman" w:cs="Galliard;Times New Roman"/>
      <w:b/>
      <w:kern w:val="2"/>
      <w:sz w:val="24"/>
    </w:rPr>
  </w:style>
  <w:style w:type="paragraph" w:styleId="Heading2">
    <w:name w:val="heading 2"/>
    <w:basedOn w:val="Normal"/>
    <w:next w:val="BodyText"/>
    <w:qFormat/>
    <w:pPr>
      <w:numPr>
        <w:ilvl w:val="1"/>
        <w:numId w:val="1"/>
      </w:numPr>
      <w:spacing w:lineRule="exact" w:line="260" w:before="260" w:after="0"/>
      <w:outlineLvl w:val="1"/>
    </w:pPr>
    <w:rPr>
      <w:rFonts w:ascii="Galliard;Times New Roman" w:hAnsi="Galliard;Times New Roman" w:cs="Galliard;Times New Roman"/>
      <w:sz w:val="24"/>
    </w:rPr>
  </w:style>
  <w:style w:type="paragraph" w:styleId="Heading3">
    <w:name w:val="heading 3"/>
    <w:basedOn w:val="Normal"/>
    <w:next w:val="BodyText"/>
    <w:qFormat/>
    <w:pPr>
      <w:numPr>
        <w:ilvl w:val="2"/>
        <w:numId w:val="1"/>
      </w:numPr>
      <w:spacing w:lineRule="exact" w:line="260" w:before="260" w:after="0"/>
      <w:outlineLvl w:val="2"/>
    </w:pPr>
    <w:rPr>
      <w:rFonts w:ascii="Galliard;Times New Roman" w:hAnsi="Galliard;Times New Roman" w:cs="Galliard;Times New Roman"/>
      <w:sz w:val="24"/>
    </w:rPr>
  </w:style>
  <w:style w:type="paragraph" w:styleId="Heading4">
    <w:name w:val="heading 4"/>
    <w:basedOn w:val="Normal"/>
    <w:next w:val="BodyText"/>
    <w:qFormat/>
    <w:pPr>
      <w:numPr>
        <w:ilvl w:val="3"/>
        <w:numId w:val="1"/>
      </w:numPr>
      <w:spacing w:lineRule="exact" w:line="260" w:before="260" w:after="0"/>
      <w:outlineLvl w:val="3"/>
    </w:pPr>
    <w:rPr>
      <w:rFonts w:ascii="Galliard;Times New Roman" w:hAnsi="Galliard;Times New Roman" w:cs="Galliard;Times New Roman"/>
      <w:sz w:val="24"/>
    </w:rPr>
  </w:style>
  <w:style w:type="paragraph" w:styleId="Heading5">
    <w:name w:val="heading 5"/>
    <w:basedOn w:val="Normal"/>
    <w:next w:val="BodyText"/>
    <w:qFormat/>
    <w:pPr>
      <w:numPr>
        <w:ilvl w:val="4"/>
        <w:numId w:val="1"/>
      </w:numPr>
      <w:spacing w:lineRule="exact" w:line="260" w:before="260" w:after="0"/>
      <w:outlineLvl w:val="4"/>
    </w:pPr>
    <w:rPr>
      <w:rFonts w:ascii="Galliard;Times New Roman" w:hAnsi="Galliard;Times New Roman" w:cs="Galliard;Times New Roman"/>
      <w:sz w:val="24"/>
    </w:rPr>
  </w:style>
  <w:style w:type="paragraph" w:styleId="Heading6">
    <w:name w:val="heading 6"/>
    <w:basedOn w:val="Normal"/>
    <w:next w:val="BodyText"/>
    <w:qFormat/>
    <w:pPr>
      <w:numPr>
        <w:ilvl w:val="5"/>
        <w:numId w:val="1"/>
      </w:numPr>
      <w:spacing w:lineRule="exact" w:line="260" w:before="260" w:after="0"/>
      <w:outlineLvl w:val="5"/>
    </w:pPr>
    <w:rPr>
      <w:rFonts w:ascii="Galliard;Times New Roman" w:hAnsi="Galliard;Times New Roman" w:cs="Galliard;Times New Roman"/>
      <w:sz w:val="24"/>
    </w:rPr>
  </w:style>
  <w:style w:type="paragraph" w:styleId="Heading7">
    <w:name w:val="heading 7"/>
    <w:basedOn w:val="Normal"/>
    <w:next w:val="BodyText"/>
    <w:qFormat/>
    <w:pPr>
      <w:numPr>
        <w:ilvl w:val="6"/>
        <w:numId w:val="1"/>
      </w:numPr>
      <w:spacing w:lineRule="exact" w:line="520"/>
      <w:outlineLvl w:val="6"/>
    </w:pPr>
    <w:rPr>
      <w:rFonts w:ascii="Galliard;Times New Roman" w:hAnsi="Galliard;Times New Roman" w:cs="Galliard;Times New Roman"/>
      <w:sz w:val="24"/>
    </w:rPr>
  </w:style>
  <w:style w:type="paragraph" w:styleId="Heading8">
    <w:name w:val="heading 8"/>
    <w:basedOn w:val="Normal"/>
    <w:next w:val="BodyText"/>
    <w:qFormat/>
    <w:pPr>
      <w:numPr>
        <w:ilvl w:val="7"/>
        <w:numId w:val="1"/>
      </w:numPr>
      <w:spacing w:lineRule="exact" w:line="260" w:before="260" w:after="0"/>
      <w:outlineLvl w:val="7"/>
    </w:pPr>
    <w:rPr>
      <w:rFonts w:ascii="Galliard;Times New Roman" w:hAnsi="Galliard;Times New Roman" w:cs="Galliard;Times New Roman"/>
      <w:sz w:val="24"/>
    </w:rPr>
  </w:style>
  <w:style w:type="paragraph" w:styleId="Heading9">
    <w:name w:val="heading 9"/>
    <w:basedOn w:val="Normal"/>
    <w:next w:val="BodyText"/>
    <w:qFormat/>
    <w:pPr>
      <w:numPr>
        <w:ilvl w:val="8"/>
        <w:numId w:val="1"/>
      </w:numPr>
      <w:spacing w:lineRule="exact" w:line="520"/>
      <w:outlineLvl w:val="8"/>
    </w:pPr>
    <w:rPr>
      <w:rFonts w:ascii="Galliard;Times New Roman" w:hAnsi="Galliard;Times New Roman" w:cs="Galliard;Times New Roman"/>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rFonts w:ascii="Galliard;Times New Roman" w:hAnsi="Galliard;Times New Roman" w:cs="Galliard;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rFonts w:ascii="Galliard;Times New Roman" w:hAnsi="Galliard;Times New Roman" w:cs="Galliard;Times New Roman"/>
      <w:sz w:val="24"/>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Center">
    <w:name w:val="Center"/>
    <w:basedOn w:val="Normal"/>
    <w:qFormat/>
    <w:pPr>
      <w:spacing w:lineRule="exact" w:line="260" w:before="260" w:after="0"/>
      <w:jc w:val="center"/>
    </w:pPr>
    <w:rPr>
      <w:rFonts w:ascii="Galliard;Times New Roman" w:hAnsi="Galliard;Times New Roman" w:cs="Galliard;Times New Roman"/>
      <w:sz w:val="24"/>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sz w:val="24"/>
    </w:rPr>
  </w:style>
  <w:style w:type="paragraph" w:styleId="Footer">
    <w:name w:val="footer"/>
    <w:basedOn w:val="Normal"/>
    <w:pPr>
      <w:tabs>
        <w:tab w:val="clear" w:pos="720"/>
        <w:tab w:val="center" w:pos="4320" w:leader="none"/>
        <w:tab w:val="right" w:pos="8640" w:leader="none"/>
      </w:tabs>
      <w:spacing w:lineRule="exact" w:line="260"/>
    </w:pPr>
    <w:rPr>
      <w:rFonts w:ascii="Galliard;Times New Roman" w:hAnsi="Galliard;Times New Roman" w:cs="Galliard;Times New Roman"/>
      <w:sz w:val="24"/>
    </w:rPr>
  </w:style>
  <w:style w:type="paragraph" w:styleId="FootnoteText">
    <w:name w:val="footnote text"/>
    <w:basedOn w:val="Normal"/>
    <w:pPr>
      <w:spacing w:lineRule="exact" w:line="260" w:before="0" w:after="120"/>
    </w:pPr>
    <w:rPr>
      <w:rFonts w:ascii="Galliard;Times New Roman" w:hAnsi="Galliard;Times New Roman" w:cs="Galliard;Times New Roman"/>
      <w:sz w:val="22"/>
    </w:rPr>
  </w:style>
  <w:style w:type="paragraph" w:styleId="TitleStyle">
    <w:name w:val="Title Style"/>
    <w:basedOn w:val="Normal"/>
    <w:qFormat/>
    <w:pPr>
      <w:jc w:val="center"/>
    </w:pPr>
    <w:rPr>
      <w:rFonts w:ascii="Galliard;Times New Roman" w:hAnsi="Galliard;Times New Roman" w:cs="Galliard;Times New Roman"/>
      <w:b/>
      <w:caps/>
      <w:sz w:val="24"/>
    </w:rPr>
  </w:style>
  <w:style w:type="paragraph" w:styleId="BodyText2">
    <w:name w:val="Body Text 2"/>
    <w:basedOn w:val="Normal"/>
    <w:qFormat/>
    <w:pPr>
      <w:tabs>
        <w:tab w:val="left" w:pos="720" w:leader="none"/>
      </w:tabs>
      <w:spacing w:lineRule="auto" w:line="480"/>
    </w:pPr>
    <w:rPr>
      <w:rFonts w:ascii="Arial" w:hAnsi="Arial" w:cs="Arial"/>
      <w:sz w:val="24"/>
    </w:rPr>
  </w:style>
  <w:style w:type="paragraph" w:styleId="BodyText3">
    <w:name w:val="Body Text 3"/>
    <w:basedOn w:val="Normal"/>
    <w:qFormat/>
    <w:pPr>
      <w:spacing w:lineRule="auto" w:line="480"/>
    </w:pPr>
    <w:rPr>
      <w:rFonts w:ascii="Arial" w:hAnsi="Arial" w:cs="Arial"/>
      <w:color w:val="000000"/>
      <w:sz w:val="24"/>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Indent2">
    <w:name w:val="Body Text Indent 2"/>
    <w:basedOn w:val="Normal"/>
    <w:qFormat/>
    <w:pPr>
      <w:ind w:firstLine="720" w:start="0" w:end="0"/>
    </w:pPr>
    <w:rPr>
      <w:rFonts w:ascii="Arial" w:hAnsi="Arial" w:cs="Arial"/>
      <w:b/>
      <w:sz w:val="24"/>
    </w:rPr>
  </w:style>
  <w:style w:type="paragraph" w:styleId="bodytext-indent">
    <w:name w:val="body text - indent"/>
    <w:basedOn w:val="Normal"/>
    <w:qFormat/>
    <w:pPr>
      <w:spacing w:lineRule="atLeast" w:line="480"/>
      <w:ind w:firstLine="1440" w:start="0" w:end="0"/>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2001-10-15T20:01:00Z</dcterms:created>
  <dc:creator>EPSA Staff</dc:creator>
  <dc:description/>
  <dc:language>en-CA</dc:language>
  <cp:lastModifiedBy>EPSA</cp:lastModifiedBy>
  <cp:lastPrinted>2001-10-15T18:33:00Z</cp:lastPrinted>
  <dcterms:modified xsi:type="dcterms:W3CDTF">2001-10-16T15:14:00Z</dcterms:modified>
  <cp:revision>22</cp:revision>
  <dc:subject/>
  <dc:title>UNITED STATES OF AMERICA</dc:title>
</cp:coreProperties>
</file>