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__, 1999</w:t>
      </w:r>
    </w:p>
    <w:p>
      <w:pPr>
        <w:pStyle w:val="Normal"/>
        <w:jc w:val="both"/>
        <w:rPr>
          <w:b/>
          <w:sz w:val="22"/>
        </w:rPr>
      </w:pPr>
      <w:r>
        <w:rPr>
          <w:b/>
          <w:sz w:val="22"/>
        </w:rPr>
      </w:r>
    </w:p>
    <w:p>
      <w:pPr>
        <w:pStyle w:val="Normal"/>
        <w:jc w:val="both"/>
        <w:rPr/>
      </w:pPr>
      <w:r>
        <w:rPr>
          <w:sz w:val="22"/>
        </w:rPr>
        <w:t>ConEdison</w:t>
      </w:r>
      <w:r>
        <w:rPr>
          <w:i/>
          <w:sz w:val="22"/>
        </w:rPr>
        <w:t>Energy</w:t>
      </w:r>
    </w:p>
    <w:p>
      <w:pPr>
        <w:pStyle w:val="Normal"/>
        <w:jc w:val="both"/>
        <w:rPr>
          <w:sz w:val="22"/>
        </w:rPr>
      </w:pPr>
      <w:r>
        <w:rPr>
          <w:sz w:val="22"/>
        </w:rPr>
        <w:t>710 Westchester Avenue</w:t>
      </w:r>
    </w:p>
    <w:p>
      <w:pPr>
        <w:pStyle w:val="Normal"/>
        <w:jc w:val="both"/>
        <w:rPr>
          <w:sz w:val="22"/>
        </w:rPr>
      </w:pPr>
      <w:r>
        <w:rPr>
          <w:sz w:val="22"/>
        </w:rPr>
        <w:t>Suite 201 West</w:t>
      </w:r>
    </w:p>
    <w:p>
      <w:pPr>
        <w:pStyle w:val="Normal"/>
        <w:jc w:val="both"/>
        <w:rPr>
          <w:sz w:val="22"/>
        </w:rPr>
      </w:pPr>
      <w:r>
        <w:rPr>
          <w:sz w:val="22"/>
        </w:rPr>
        <w:t>White Plains, New York  10604</w:t>
      </w:r>
    </w:p>
    <w:p>
      <w:pPr>
        <w:pStyle w:val="Normal"/>
        <w:jc w:val="both"/>
        <w:rPr>
          <w:sz w:val="22"/>
        </w:rPr>
      </w:pPr>
      <w:r>
        <w:rPr>
          <w:sz w:val="22"/>
        </w:rPr>
        <w:t xml:space="preserve">Attn.:  Mr. Robert Mennella </w:t>
      </w:r>
    </w:p>
    <w:p>
      <w:pPr>
        <w:pStyle w:val="Normal"/>
        <w:jc w:val="both"/>
        <w:rPr>
          <w:sz w:val="22"/>
        </w:rPr>
      </w:pPr>
      <w:r>
        <w:rPr>
          <w:sz w:val="22"/>
        </w:rPr>
      </w:r>
    </w:p>
    <w:p>
      <w:pPr>
        <w:pStyle w:val="Normal"/>
        <w:jc w:val="both"/>
        <w:rPr>
          <w:sz w:val="22"/>
        </w:rPr>
      </w:pPr>
      <w:r>
        <w:rPr>
          <w:sz w:val="22"/>
        </w:rPr>
        <w:t>Re:</w:t>
        <w:tab/>
        <w:t>Letter of Intent, Confidentiality and Non-Circumvention</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This letter of intent, confidentiality and non-circumvention (“Agreement”), effective when executed by all the parties hereto, will evidence the current mutual intent, as set forth in Article I below, of ConEdison</w:t>
      </w:r>
      <w:r>
        <w:rPr>
          <w:i/>
          <w:sz w:val="22"/>
        </w:rPr>
        <w:t>Energy</w:t>
      </w:r>
      <w:r>
        <w:rPr>
          <w:sz w:val="22"/>
        </w:rPr>
        <w:t>, a ________________ (“CEE”) and an unregulated affiliate of Consolidated Edison of New York (“ConEdison”), and Enron Capital &amp; Trade Resources Corp., a Delaware corporation (“ECT”), to evaluate the commercial viability of contemplated transactions proposed by ECT pursuant to which ECT would work together with CEE in connection with CEE’s role as fuel manager for ConEdison (collectively, the “Project”).  CEE and ECT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 binding agreement relating to the Project, if any, will only arise upon the negotiation, execution and delivery of mutually satisfactory definitive agreements and the satisfaction of the conditions set forth therein, including the approval of such agreements and the Project by the respective authorized representatives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1"/>
        </w:numPr>
        <w:tabs>
          <w:tab w:val="clear" w:pos="720"/>
          <w:tab w:val="left" w:pos="1440" w:leader="none"/>
        </w:tabs>
        <w:ind w:firstLine="720" w:start="0" w:end="0"/>
        <w:jc w:val="both"/>
        <w:rPr>
          <w:sz w:val="22"/>
        </w:rPr>
      </w:pPr>
      <w:r>
        <w:rPr>
          <w:sz w:val="22"/>
        </w:rPr>
        <w:tab/>
        <w:t xml:space="preserve">The Parties will discuss the Project and the necessary agreements relating thereto. ECT and CEE will conduct a due diligence investigation regarding the Project.  CEE will assist ECT in such investigation and CEE will disclose to ECT all relevant information in CEE's possession pertaining thereto. Following due diligence, it is anticipated that (i) ECT will make a variety of proposals to CEE which it believes are mutually beneficial (“Project Proposals”) and (ii) CEE will consider such Project Proposals to determine whether or not the Parties should negotiate and enter into the proposed transactions.  Any such transactions shall be evidenced by definitive written agreements.  The Parties intend to (i) share equally (50% each) in the benefits (disclosed to CEE at the time of any such transaction) of any idea, suggestion, or resulting transaction provided to CEE by ECT and (ii) prohibit CEE from using any such idea or suggestion to the exclusion of ECT (i.e. entering into the same or similar transaction without sharing the resulting benefits).  It is understood that ECT and CEE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either the Project or the Project Proposals.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generating assets currently owned by ConEdison are sold (the “Term”).  The Term of this Agreement may, however, be extended through terms mutually agreeable to the Parties.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Exclusivity/Non-Circumvent.</w:t>
      </w:r>
      <w:r>
        <w:rPr>
          <w:sz w:val="22"/>
        </w:rPr>
        <w:t xml:space="preserve">  In consideration of the efforts to be expended by ECT in undertaking its due diligence review of the Project, CEE hereby grants to ECT, from the date of this Agreement until the generating assets currently owned by ConEdison (“ConEdison Assets”) are sold (the “Exclusivity Period”) the exclusive right to (i) pursue the Project and/or any Project Proposals with CEE and (ii) share equally in the benefits achieved by CEE which arise from ECT’s ideas or suggestions.  During the Exclusivity Period and without prior written consent of the other Party, CEE shall not work with other persons with regard to any development of the Project, the Project Proposals or any other suggestions or ideas provided to it by ECT.  The foregoing exclusivity provision shall not restrict or prohibit either Party from engaging in transactions that are outside the scope of this Agreement.  This Section 2 shall not apply to any transactions that CEE may wish pursue with the ultimate purchaser of the ConEdison Assets.</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 the later of (i) the expiration of the Term of this Agreement or (ii) one (1) year after the effective date hereof, neither Party will disclose confidential information furnished to it pursuant to this Agreement without the prior written consent of the other Party (other than to its employees, representatives, lenders, counsel and lender’s counsel,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The term “confidential information” shall include without limitation, however, (A) any and all Project Proposals and other ideas, suggestions or conceptions submitted by ECT to CEE for consideration and (B) the fact that the confidential information has been made available, the fact that discussions and negotiations are taking place concerning the Project and any of the terms, conditions or other facts with respect to the Project or other related transactions including the status thereof.  Neither Party will use confidential information other than for the purpose of evaluating, negotiating and consummating the proposed transactions relating to the Project.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jc w:val="both"/>
        <w:rPr>
          <w:b/>
          <w:sz w:val="22"/>
        </w:rPr>
      </w:pPr>
      <w:r>
        <w:rPr>
          <w:b/>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NEW YORK, WITHOUT GIVING EFFECT TO CONFLICT OF LAWS PRINCIPLES.</w:t>
      </w:r>
    </w:p>
    <w:p>
      <w:pPr>
        <w:pStyle w:val="Normal"/>
        <w:jc w:val="both"/>
        <w:rPr>
          <w:sz w:val="22"/>
        </w:rPr>
      </w:pPr>
      <w:r>
        <w:rPr>
          <w:sz w:val="22"/>
        </w:rPr>
      </w:r>
    </w:p>
    <w:p>
      <w:pPr>
        <w:pStyle w:val="Normal"/>
        <w:ind w:firstLine="720" w:end="0"/>
        <w:jc w:val="both"/>
        <w:rPr/>
      </w:pPr>
      <w:r>
        <w:rPr>
          <w:sz w:val="22"/>
        </w:rPr>
        <w:t>9.</w:t>
      </w:r>
      <w:r>
        <w:rPr>
          <w:b/>
          <w:sz w:val="22"/>
        </w:rPr>
        <w:tab/>
        <w:t>Non-Inclusive; Non-Binding.</w:t>
      </w:r>
      <w:r>
        <w:rPr>
          <w:sz w:val="22"/>
        </w:rPr>
        <w:t xml:space="preserve">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subject-matter of the Project, and may not be relied upon by a Party as the basis for a contract by estoppel or otherwise.  A binding commitment with respect to the Project can only result from the execution and delivery of definitive agreements.</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pPr>
      <w:r>
        <w:rPr>
          <w:sz w:val="22"/>
        </w:rPr>
        <w:t>12.</w:t>
        <w:tab/>
      </w:r>
      <w:r>
        <w:rPr>
          <w:b/>
          <w:sz w:val="22"/>
        </w:rPr>
        <w:t>Limitation of Liability.</w:t>
      </w:r>
      <w:r>
        <w:rPr>
          <w:sz w:val="22"/>
        </w:rPr>
        <w:t xml:space="preserve">  Notwithstanding anything herein to the contrary, neither ECT or CEE,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express written consent of the other Party, which consent may be withheld for any or no reason.  Any purported assignment without such prior express written consent shall be void.  Notwithstanding the foregoing, however, either Party may, without the other Party’s consent, assign this Agreement to:  (a) a parent corporation or other organization that entirely owns such Party; (b) a corporation or other organization that is entirely owned or controlled by the same corporation or other organization that entirely owns such Party; or (c) a corporation or other organization that is entirely owned by such Party.  Unless otherwise agreed in a writing signed by authorized representatives of both Parties, any assignment of this Agreement, whether or not requiring consent of the other Party: (y) shall be conditioned on the assignee expressly assuming all of the obligations of the assignor under this Agreement and (z) shall not be a novation or otherwise release or discharge the assignor from any of its obligations under this Agreement.</w:t>
      </w:r>
      <w:r>
        <w:br w:type="page"/>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rPr>
      </w:pPr>
      <w:r>
        <w:rPr>
          <w:b/>
          <w:sz w:val="22"/>
        </w:rPr>
        <w:t>ENRON CAPITAL &amp; TRADE</w:t>
      </w:r>
    </w:p>
    <w:p>
      <w:pPr>
        <w:pStyle w:val="Normal"/>
        <w:jc w:val="both"/>
        <w:rPr>
          <w:b/>
          <w:sz w:val="22"/>
          <w:u w:val="single"/>
        </w:rPr>
      </w:pPr>
      <w:r>
        <w:rPr>
          <w:b/>
          <w:sz w:val="22"/>
        </w:rPr>
        <w:t>RESOURCES CORP.</w:t>
      </w:r>
    </w:p>
    <w:p>
      <w:pPr>
        <w:pStyle w:val="Normal"/>
        <w:jc w:val="both"/>
        <w:rPr>
          <w:b/>
          <w:sz w:val="22"/>
          <w:u w:val="single"/>
        </w:rPr>
      </w:pPr>
      <w:r>
        <w:rPr>
          <w:b/>
          <w:sz w:val="22"/>
          <w:u w:val="single"/>
        </w:rPr>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Acknowledged, Agreed to and Accepted,</w:t>
      </w:r>
    </w:p>
    <w:p>
      <w:pPr>
        <w:pStyle w:val="Normal"/>
        <w:keepNext w:val="true"/>
        <w:keepLines/>
        <w:jc w:val="both"/>
        <w:rPr>
          <w:sz w:val="22"/>
        </w:rPr>
      </w:pPr>
      <w:r>
        <w:rPr>
          <w:sz w:val="22"/>
        </w:rPr>
        <w:t>this ____ day of __________, 1999:</w:t>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b/>
          <w:sz w:val="22"/>
        </w:rPr>
      </w:pPr>
      <w:r>
        <w:rPr>
          <w:b/>
          <w:sz w:val="22"/>
        </w:rPr>
        <w:t>CONEDISON</w:t>
      </w:r>
      <w:r>
        <w:rPr>
          <w:b/>
          <w:i/>
          <w:sz w:val="22"/>
        </w:rPr>
        <w:t>ENERGY</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/mnt/main-storage/datasets/enron-docs/doc/ConEdisonSolutions.LOIv7.doc</w:t>
    </w:r>
    <w:r>
      <w:rPr>
        <w:sz w:val="14"/>
        <w:lang w:eastAsia="en-US"/>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eastAsia="en-US"/>
      </w:rPr>
    </w:pPr>
    <w:r>
      <w:rPr>
        <w:sz w:val="18"/>
        <w:lang w:eastAsia="en-US"/>
      </w:rPr>
      <w:fldChar w:fldCharType="begin"/>
    </w:r>
    <w:r>
      <w:rPr>
        <w:sz w:val="18"/>
        <w:lang w:eastAsia="en-US"/>
      </w:rPr>
      <w:instrText xml:space="preserve"> FILENAME \p </w:instrText>
    </w:r>
    <w:r>
      <w:rPr>
        <w:sz w:val="18"/>
        <w:lang w:eastAsia="en-US"/>
      </w:rPr>
      <w:fldChar w:fldCharType="separate"/>
    </w:r>
    <w:r>
      <w:rPr>
        <w:sz w:val="18"/>
        <w:lang w:eastAsia="en-US"/>
      </w:rPr>
      <w:t>/mnt/main-storage/datasets/enron-docs/doc/ConEdisonSolutions.LOIv7.doc</w:t>
    </w:r>
    <w:r>
      <w:rPr>
        <w:sz w:val="18"/>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r>
      <w:rPr>
        <w:b/>
      </w:rPr>
      <w:fldChar w:fldCharType="begin"/>
    </w:r>
    <w:r>
      <w:rPr>
        <w:b/>
      </w:rPr>
      <w:instrText xml:space="preserve"> DATE \@"MM\/dd\/yy" </w:instrText>
    </w:r>
    <w:r>
      <w:rPr>
        <w:b/>
      </w:rPr>
      <w:fldChar w:fldCharType="separate"/>
    </w:r>
    <w:r>
      <w:rPr>
        <w:b/>
      </w:rPr>
      <w:t>09/28/25</w:t>
    </w:r>
    <w:r>
      <w:rPr>
        <w:b/>
      </w:rPr>
      <w:fldChar w:fldCharType="end"/>
    </w:r>
  </w:p>
  <w:p>
    <w:pPr>
      <w:pStyle w:val="Header"/>
      <w:tabs>
        <w:tab w:val="clear" w:pos="8640"/>
        <w:tab w:val="center" w:pos="4320" w:leader="none"/>
        <w:tab w:val="right" w:pos="9630" w:leader="none"/>
      </w:tabs>
      <w:jc w:val="end"/>
      <w:rPr>
        <w:sz w:val="22"/>
      </w:rPr>
    </w:pPr>
    <w:r>
      <w:rPr>
        <w:b/>
      </w:rPr>
      <w:t>For Discussion Purposes Only</w:t>
    </w:r>
  </w:p>
  <w:p>
    <w:pPr>
      <w:pStyle w:val="Header"/>
      <w:rPr>
        <w:sz w:val="22"/>
      </w:rPr>
    </w:pPr>
    <w:r>
      <w:rPr>
        <w:sz w:val="22"/>
      </w:rPr>
      <w:t>March _____,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tab/>
      <w:tab/>
    </w:r>
    <w:r>
      <w:rPr>
        <w:b/>
      </w:rPr>
      <w:t xml:space="preserve">DRAFT: </w:t>
    </w:r>
    <w:r>
      <w:rPr>
        <w:b/>
      </w:rPr>
      <w:fldChar w:fldCharType="begin"/>
    </w:r>
    <w:r>
      <w:rPr>
        <w:b/>
      </w:rPr>
      <w:instrText xml:space="preserve"> DATE \@"MM\/dd\/yy" </w:instrText>
    </w:r>
    <w:r>
      <w:rPr>
        <w:b/>
      </w:rPr>
      <w:fldChar w:fldCharType="separate"/>
    </w:r>
    <w:r>
      <w:rPr>
        <w:b/>
      </w:rPr>
      <w:t>09/28/25</w:t>
    </w:r>
    <w:r>
      <w:rPr>
        <w:b/>
      </w:rPr>
      <w:fldChar w:fldCharType="end"/>
    </w:r>
  </w:p>
  <w:p>
    <w:pPr>
      <w:pStyle w:val="Header"/>
      <w:tabs>
        <w:tab w:val="clear" w:pos="8640"/>
        <w:tab w:val="left" w:pos="-3330" w:leader="none"/>
        <w:tab w:val="center" w:pos="4320" w:leader="none"/>
        <w:tab w:val="right" w:pos="9540" w:leader="none"/>
      </w:tabs>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1999-03-02T21:02:00Z</dcterms:created>
  <dc:creator>ECT</dc:creator>
  <dc:description/>
  <dc:language>en-CA</dc:language>
  <cp:lastModifiedBy>szisman</cp:lastModifiedBy>
  <cp:lastPrinted>1999-03-02T13:46:00Z</cp:lastPrinted>
  <dcterms:modified xsi:type="dcterms:W3CDTF">1999-03-02T21:02:00Z</dcterms:modified>
  <cp:revision>2</cp:revision>
  <dc:subject/>
  <dc:title>[ECT Letterhead]</dc:title>
</cp:coreProperties>
</file>