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jc w:val="center"/>
        <w:rPr>
          <w:b/>
          <w:sz w:val="22"/>
        </w:rPr>
      </w:pPr>
      <w:r>
        <w:rPr>
          <w:b/>
          <w:sz w:val="22"/>
        </w:rPr>
        <w:t xml:space="preserve">CONFIRMATION </w:t>
      </w:r>
    </w:p>
    <w:p>
      <w:pPr>
        <w:pStyle w:val="Normal"/>
        <w:jc w:val="center"/>
        <w:rPr>
          <w:b/>
          <w:sz w:val="22"/>
        </w:rPr>
      </w:pPr>
      <w:r>
        <w:rPr>
          <w:b/>
          <w:sz w:val="22"/>
        </w:rPr>
        <w:t>(SWAPTION)</w:t>
      </w:r>
    </w:p>
    <w:p>
      <w:pPr>
        <w:pStyle w:val="Normal"/>
        <w:rPr>
          <w:b/>
          <w:sz w:val="22"/>
        </w:rPr>
      </w:pPr>
      <w:r>
        <w:rPr>
          <w:b/>
          <w:sz w:val="22"/>
        </w:rPr>
      </w:r>
    </w:p>
    <w:p>
      <w:pPr>
        <w:pStyle w:val="Normal"/>
        <w:rPr>
          <w:sz w:val="22"/>
        </w:rPr>
      </w:pPr>
      <w:r>
        <w:rPr>
          <w:sz w:val="22"/>
        </w:rPr>
        <w:t>Date:</w:t>
        <w:tab/>
        <w:tab/>
        <w:tab/>
        <w:tab/>
        <w:t>January 19, 2001</w:t>
      </w:r>
    </w:p>
    <w:p>
      <w:pPr>
        <w:pStyle w:val="Normal"/>
        <w:rPr>
          <w:sz w:val="22"/>
        </w:rPr>
      </w:pPr>
      <w:r>
        <w:rPr>
          <w:sz w:val="22"/>
        </w:rPr>
        <w:t>To:</w:t>
        <w:tab/>
        <w:tab/>
        <w:tab/>
        <w:tab/>
        <w:t>Consolidated Edison Solutions, Inc.. (“Counterparty”)</w:t>
      </w:r>
    </w:p>
    <w:p>
      <w:pPr>
        <w:pStyle w:val="Normal"/>
        <w:rPr>
          <w:sz w:val="22"/>
        </w:rPr>
      </w:pPr>
      <w:r>
        <w:rPr>
          <w:sz w:val="22"/>
        </w:rPr>
        <w:t>Attention:</w:t>
        <w:tab/>
        <w:tab/>
        <w:tab/>
      </w:r>
    </w:p>
    <w:p>
      <w:pPr>
        <w:pStyle w:val="Normal"/>
        <w:rPr>
          <w:sz w:val="22"/>
        </w:rPr>
      </w:pPr>
      <w:r>
        <w:rPr>
          <w:sz w:val="22"/>
        </w:rPr>
        <w:t>Fax No.:</w:t>
        <w:tab/>
        <w:tab/>
        <w:tab/>
      </w:r>
    </w:p>
    <w:p>
      <w:pPr>
        <w:pStyle w:val="Normal"/>
        <w:rPr>
          <w:sz w:val="22"/>
        </w:rPr>
      </w:pPr>
      <w:r>
        <w:rPr>
          <w:sz w:val="22"/>
        </w:rPr>
        <w:t>From:</w:t>
        <w:tab/>
        <w:tab/>
        <w:tab/>
        <w:tab/>
        <w:t>Enron North America Corp. (“ENA”)</w:t>
      </w:r>
    </w:p>
    <w:p>
      <w:pPr>
        <w:pStyle w:val="Normal"/>
        <w:rPr>
          <w:sz w:val="22"/>
        </w:rPr>
      </w:pPr>
      <w:r>
        <w:rPr>
          <w:sz w:val="22"/>
        </w:rPr>
        <w:t>Re:</w:t>
        <w:tab/>
        <w:tab/>
        <w:tab/>
        <w:tab/>
        <w:t xml:space="preserve">Commodity Swaption </w:t>
      </w:r>
    </w:p>
    <w:p>
      <w:pPr>
        <w:pStyle w:val="Normal"/>
        <w:jc w:val="center"/>
        <w:rPr>
          <w:b/>
          <w:sz w:val="22"/>
        </w:rPr>
      </w:pPr>
      <w:r>
        <w:rPr>
          <w:b/>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jc w:val="both"/>
        <w:rPr>
          <w:sz w:val="22"/>
        </w:rPr>
      </w:pPr>
      <w:r>
        <w:rPr>
          <w:sz w:val="22"/>
        </w:rPr>
      </w:r>
    </w:p>
    <w:p>
      <w:pPr>
        <w:pStyle w:val="Normal"/>
        <w:jc w:val="both"/>
        <w:rPr>
          <w:b/>
          <w:sz w:val="22"/>
        </w:rPr>
      </w:pPr>
      <w:r>
        <w:rPr>
          <w:b/>
          <w:sz w:val="22"/>
        </w:rPr>
        <w:t>General Terms for Daily Swaption:</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sz w:val="22"/>
              </w:rPr>
              <w:t>Trade Date:</w:t>
            </w:r>
          </w:p>
        </w:tc>
        <w:tc>
          <w:tcPr>
            <w:tcW w:w="6102" w:type="dxa"/>
            <w:tcBorders/>
          </w:tcPr>
          <w:p>
            <w:pPr>
              <w:pStyle w:val="Normal"/>
              <w:jc w:val="both"/>
              <w:rPr>
                <w:sz w:val="22"/>
              </w:rPr>
            </w:pPr>
            <w:r>
              <w:rPr>
                <w:sz w:val="22"/>
              </w:rPr>
              <w:t>January , 2001</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Option Style:</w:t>
            </w:r>
          </w:p>
        </w:tc>
        <w:tc>
          <w:tcPr>
            <w:tcW w:w="6102" w:type="dxa"/>
            <w:tcBorders/>
          </w:tcPr>
          <w:p>
            <w:pPr>
              <w:pStyle w:val="Normal"/>
              <w:jc w:val="both"/>
              <w:rPr>
                <w:sz w:val="22"/>
              </w:rPr>
            </w:pPr>
            <w:r>
              <w:rPr>
                <w:sz w:val="22"/>
              </w:rPr>
              <w:t>European</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Option Type:</w:t>
            </w:r>
          </w:p>
        </w:tc>
        <w:tc>
          <w:tcPr>
            <w:tcW w:w="6102" w:type="dxa"/>
            <w:tcBorders/>
          </w:tcPr>
          <w:p>
            <w:pPr>
              <w:pStyle w:val="Normal"/>
              <w:jc w:val="both"/>
              <w:rPr>
                <w:sz w:val="22"/>
              </w:rPr>
            </w:pPr>
            <w:r>
              <w:rPr>
                <w:sz w:val="22"/>
              </w:rPr>
              <w:t>Daily Swaption</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Seller:</w:t>
            </w:r>
          </w:p>
        </w:tc>
        <w:tc>
          <w:tcPr>
            <w:tcW w:w="6102" w:type="dxa"/>
            <w:tcBorders/>
          </w:tcPr>
          <w:p>
            <w:pPr>
              <w:pStyle w:val="Normal"/>
              <w:jc w:val="both"/>
              <w:rPr>
                <w:sz w:val="22"/>
              </w:rPr>
            </w:pPr>
            <w:r>
              <w:rPr>
                <w:sz w:val="22"/>
              </w:rPr>
              <w:t>Consolidated Edison Solutions, Inc.</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Buyer:</w:t>
            </w:r>
          </w:p>
        </w:tc>
        <w:tc>
          <w:tcPr>
            <w:tcW w:w="6102" w:type="dxa"/>
            <w:tcBorders/>
          </w:tcPr>
          <w:p>
            <w:pPr>
              <w:pStyle w:val="Normal"/>
              <w:jc w:val="both"/>
              <w:rPr>
                <w:sz w:val="22"/>
              </w:rPr>
            </w:pPr>
            <w:r>
              <w:rPr>
                <w:sz w:val="22"/>
              </w:rPr>
              <w:t>Enron North America Corp.</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Total Premium:</w:t>
            </w:r>
          </w:p>
        </w:tc>
        <w:tc>
          <w:tcPr>
            <w:tcW w:w="6102" w:type="dxa"/>
            <w:tcBorders/>
          </w:tcPr>
          <w:p>
            <w:pPr>
              <w:pStyle w:val="Normal"/>
              <w:jc w:val="both"/>
              <w:rPr>
                <w:sz w:val="22"/>
              </w:rPr>
            </w:pPr>
            <w:r>
              <w:rPr>
                <w:sz w:val="22"/>
              </w:rPr>
              <w:t>$____________ due Seller</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Premium Payment Date:</w:t>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 xml:space="preserve">                </w:t>
            </w:r>
            <w:r>
              <w:rPr>
                <w:sz w:val="22"/>
              </w:rPr>
              <w:t>Cash Settlement:</w:t>
            </w:r>
          </w:p>
        </w:tc>
        <w:tc>
          <w:tcPr>
            <w:tcW w:w="6102" w:type="dxa"/>
            <w:tcBorders/>
          </w:tcPr>
          <w:p>
            <w:pPr>
              <w:pStyle w:val="Normal"/>
              <w:jc w:val="both"/>
              <w:rPr>
                <w:sz w:val="22"/>
              </w:rPr>
            </w:pPr>
            <w:r>
              <w:rPr>
                <w:sz w:val="22"/>
              </w:rPr>
              <w:t>Applicable</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 xml:space="preserve">                 </w:t>
            </w:r>
            <w:r>
              <w:rPr>
                <w:sz w:val="22"/>
              </w:rPr>
              <w:t>Settlement Date:</w:t>
            </w:r>
          </w:p>
        </w:tc>
        <w:tc>
          <w:tcPr>
            <w:tcW w:w="6102" w:type="dxa"/>
            <w:tcBorders/>
          </w:tcPr>
          <w:p>
            <w:pPr>
              <w:pStyle w:val="Normal"/>
              <w:jc w:val="both"/>
              <w:rPr>
                <w:sz w:val="22"/>
              </w:rPr>
            </w:pPr>
            <w:r>
              <w:rPr>
                <w:sz w:val="22"/>
              </w:rPr>
              <w:t>____ Business Days following the Exercise Date</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 xml:space="preserve">                 </w:t>
            </w:r>
            <w:r>
              <w:rPr>
                <w:sz w:val="22"/>
              </w:rPr>
              <w:t>Cash Settlement Amount:</w:t>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Heading6"/>
              <w:ind w:hanging="0" w:start="0"/>
              <w:rPr/>
            </w:pPr>
            <w:r>
              <w:rPr/>
              <w:t>Procedures for Exercise:</w:t>
            </w:r>
          </w:p>
        </w:tc>
        <w:tc>
          <w:tcPr>
            <w:tcW w:w="6102" w:type="dxa"/>
            <w:tcBorders/>
          </w:tcPr>
          <w:p>
            <w:pPr>
              <w:pStyle w:val="Normal"/>
              <w:snapToGrid w:val="false"/>
              <w:rPr/>
            </w:pPr>
            <w:r>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 xml:space="preserve">Exercise Period: </w:t>
            </w:r>
          </w:p>
        </w:tc>
        <w:tc>
          <w:tcPr>
            <w:tcW w:w="6102" w:type="dxa"/>
            <w:tcBorders/>
          </w:tcPr>
          <w:p>
            <w:pPr>
              <w:pStyle w:val="Heading7"/>
              <w:ind w:hanging="0" w:start="0"/>
              <w:rPr>
                <w:u w:val="none"/>
              </w:rPr>
            </w:pPr>
            <w:r>
              <w:rPr>
                <w:u w:val="none"/>
              </w:rPr>
              <w:t>Prior to 1600 EPT on the day prior to the Determination Period (the “Exercise Date”) as set forth below:</w:t>
            </w:r>
          </w:p>
          <w:p>
            <w:pPr>
              <w:pStyle w:val="Heading7"/>
              <w:ind w:hanging="0" w:start="0"/>
              <w:rPr>
                <w:u w:val="none"/>
              </w:rPr>
            </w:pPr>
            <w:r>
              <w:rPr>
                <w:u w:val="none"/>
              </w:rPr>
            </w:r>
          </w:p>
          <w:p>
            <w:pPr>
              <w:pStyle w:val="Heading7"/>
              <w:ind w:hanging="0" w:start="0"/>
              <w:rPr/>
            </w:pPr>
            <w:r>
              <w:rPr/>
              <w:t xml:space="preserve">If Determination </w:t>
            </w:r>
            <w:r>
              <w:rPr>
                <w:u w:val="none"/>
              </w:rPr>
              <w:t xml:space="preserve">                 </w:t>
            </w:r>
          </w:p>
          <w:p>
            <w:pPr>
              <w:pStyle w:val="Heading7"/>
              <w:ind w:hanging="0" w:start="0"/>
              <w:rPr/>
            </w:pPr>
            <w:r>
              <w:rPr/>
              <w:t>Period is:</w:t>
            </w:r>
            <w:r>
              <w:rPr>
                <w:u w:val="none"/>
              </w:rPr>
              <w:t xml:space="preserve">                              </w:t>
            </w:r>
            <w:r>
              <w:rPr/>
              <w:t>then Exercise Date is:</w:t>
            </w:r>
            <w:r>
              <w:rPr>
                <w:u w:val="none"/>
              </w:rPr>
              <w:tab/>
              <w:t xml:space="preserve">                     </w:t>
            </w:r>
          </w:p>
          <w:p>
            <w:pPr>
              <w:pStyle w:val="Normal"/>
              <w:rPr/>
            </w:pPr>
            <w:r>
              <w:rPr/>
            </w:r>
          </w:p>
          <w:p>
            <w:pPr>
              <w:pStyle w:val="Header"/>
              <w:tabs>
                <w:tab w:val="clear" w:pos="4320"/>
                <w:tab w:val="clear" w:pos="8640"/>
              </w:tabs>
              <w:rPr/>
            </w:pPr>
            <w:r>
              <w:rPr/>
              <w:t xml:space="preserve">Monday </w:t>
              <w:tab/>
              <w:tab/>
              <w:t xml:space="preserve">         Preceding Friday </w:t>
            </w:r>
          </w:p>
          <w:p>
            <w:pPr>
              <w:pStyle w:val="Normal"/>
              <w:rPr/>
            </w:pPr>
            <w:r>
              <w:rPr/>
              <w:t>Tuesday</w:t>
              <w:tab/>
              <w:tab/>
              <w:t xml:space="preserve">         Preceding Friday </w:t>
            </w:r>
          </w:p>
          <w:p>
            <w:pPr>
              <w:pStyle w:val="Header"/>
              <w:tabs>
                <w:tab w:val="clear" w:pos="4320"/>
                <w:tab w:val="clear" w:pos="8640"/>
              </w:tabs>
              <w:rPr/>
            </w:pPr>
            <w:r>
              <w:rPr/>
              <w:t>Wednesday</w:t>
              <w:tab/>
              <w:tab/>
              <w:t xml:space="preserve">         Preceding Monday </w:t>
            </w:r>
          </w:p>
          <w:p>
            <w:pPr>
              <w:pStyle w:val="Normal"/>
              <w:rPr/>
            </w:pPr>
            <w:r>
              <w:rPr/>
              <w:t>Thursday</w:t>
              <w:tab/>
              <w:tab/>
              <w:t xml:space="preserve">         Preceding Tuesday </w:t>
            </w:r>
          </w:p>
          <w:p>
            <w:pPr>
              <w:pStyle w:val="Header"/>
              <w:tabs>
                <w:tab w:val="clear" w:pos="4320"/>
                <w:tab w:val="clear" w:pos="8640"/>
              </w:tabs>
              <w:rPr/>
            </w:pPr>
            <w:r>
              <w:rPr/>
              <w:t>Friday</w:t>
              <w:tab/>
              <w:tab/>
              <w:tab/>
              <w:t xml:space="preserve">         Preceding Wednesday </w:t>
            </w:r>
          </w:p>
          <w:p>
            <w:pPr>
              <w:pStyle w:val="Normal"/>
              <w:rPr/>
            </w:pPr>
            <w:r>
              <w:rPr/>
            </w:r>
          </w:p>
          <w:p>
            <w:pPr>
              <w:pStyle w:val="Header"/>
              <w:tabs>
                <w:tab w:val="clear" w:pos="4320"/>
                <w:tab w:val="clear" w:pos="8640"/>
              </w:tabs>
              <w:rPr/>
            </w:pPr>
            <w:r>
              <w:rPr/>
              <w:t>If the Exercise Date is not a Business Day, then the Exercise Date will be the first preceding day that is a Business Day or a Trading Day, as the case may be.</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Automatic Exercise:</w:t>
            </w:r>
          </w:p>
        </w:tc>
        <w:tc>
          <w:tcPr>
            <w:tcW w:w="6102" w:type="dxa"/>
            <w:tcBorders/>
          </w:tcPr>
          <w:p>
            <w:pPr>
              <w:pStyle w:val="Normal"/>
              <w:rPr/>
            </w:pPr>
            <w:r>
              <w:rPr/>
              <w:t>Inapplicable</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Notice Of Exercise:</w:t>
            </w:r>
          </w:p>
        </w:tc>
        <w:tc>
          <w:tcPr>
            <w:tcW w:w="6102" w:type="dxa"/>
            <w:tcBorders/>
          </w:tcPr>
          <w:p>
            <w:pPr>
              <w:pStyle w:val="Normal"/>
              <w:jc w:val="both"/>
              <w:rPr>
                <w:sz w:val="22"/>
              </w:rPr>
            </w:pPr>
            <w:r>
              <w:rPr>
                <w:sz w:val="22"/>
              </w:rPr>
              <w:t>[Upon receipt of telephone notification by ENA from Counterprty of available capacity,] [A]n irrevocable notice given by ENA to Counterparty (which may be given orally, including by telephone, or in writing) of its (1) election to enter into each Daily Swaption, (2) election of each Determination Period and (3) election to pay either the First Floating Price or the Second Floating Price.  For the avoidance of doubt, if ENA elects to pay the First Floating Price, then Counterparty will pay the Second Floating Price and if ENA elects to pay the Second Floating Price, then Counterparty will pay the First Floating Price.</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Seller’s telephone and facsimile number for</w:t>
            </w:r>
          </w:p>
          <w:p>
            <w:pPr>
              <w:pStyle w:val="Normal"/>
              <w:rPr>
                <w:sz w:val="22"/>
              </w:rPr>
            </w:pPr>
            <w:r>
              <w:rPr>
                <w:sz w:val="22"/>
              </w:rPr>
              <w:t>Purposes of giving notice:</w:t>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sz w:val="22"/>
              </w:rPr>
            </w:pPr>
            <w:r>
              <w:rPr>
                <w:b/>
                <w:sz w:val="22"/>
              </w:rPr>
              <w:t>The terms of the Underlying Transaction to which the Option relates are as follows:</w:t>
            </w:r>
          </w:p>
        </w:tc>
        <w:tc>
          <w:tcPr>
            <w:tcW w:w="6102" w:type="dxa"/>
            <w:tcBorders/>
          </w:tcPr>
          <w:p>
            <w:pPr>
              <w:pStyle w:val="Normal"/>
              <w:snapToGrid w:val="false"/>
              <w:jc w:val="both"/>
              <w:rPr>
                <w:b/>
                <w:sz w:val="22"/>
              </w:rPr>
            </w:pPr>
            <w:r>
              <w:rPr>
                <w:b/>
                <w:sz w:val="22"/>
              </w:rPr>
            </w:r>
          </w:p>
        </w:tc>
      </w:tr>
      <w:tr>
        <w:trPr/>
        <w:tc>
          <w:tcPr>
            <w:tcW w:w="4338" w:type="dxa"/>
            <w:tcBorders/>
          </w:tcPr>
          <w:p>
            <w:pPr>
              <w:pStyle w:val="Normal"/>
              <w:snapToGrid w:val="false"/>
              <w:rPr>
                <w:b/>
                <w:sz w:val="22"/>
              </w:rPr>
            </w:pPr>
            <w:r>
              <w:rPr>
                <w:b/>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Notional Quantity per</w:t>
            </w:r>
          </w:p>
          <w:p>
            <w:pPr>
              <w:pStyle w:val="Normal"/>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t>0 to 100 MWs per hour for each On-Peak Hour during the Determination Period, as  on a daily basis, all as further defined hereinabove.</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Commodity:</w:t>
              <w:tab/>
            </w:r>
          </w:p>
        </w:tc>
        <w:tc>
          <w:tcPr>
            <w:tcW w:w="6102" w:type="dxa"/>
            <w:tcBorders/>
          </w:tcPr>
          <w:p>
            <w:pPr>
              <w:pStyle w:val="Normal"/>
              <w:jc w:val="both"/>
              <w:rPr>
                <w:sz w:val="22"/>
              </w:rPr>
            </w:pPr>
            <w:r>
              <w:rPr>
                <w:sz w:val="22"/>
              </w:rPr>
              <w:t>Electricity/MWh</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Commodity Unit:</w:t>
            </w:r>
          </w:p>
        </w:tc>
        <w:tc>
          <w:tcPr>
            <w:tcW w:w="6102" w:type="dxa"/>
            <w:tcBorders/>
          </w:tcPr>
          <w:p>
            <w:pPr>
              <w:pStyle w:val="Normal"/>
              <w:jc w:val="both"/>
              <w:rPr>
                <w:sz w:val="22"/>
              </w:rPr>
            </w:pPr>
            <w:r>
              <w:rPr>
                <w:sz w:val="22"/>
              </w:rPr>
              <w:t>MWh (Megawatt hours)</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Effective Date:</w:t>
              <w:tab/>
            </w:r>
          </w:p>
        </w:tc>
        <w:tc>
          <w:tcPr>
            <w:tcW w:w="6102" w:type="dxa"/>
            <w:tcBorders/>
          </w:tcPr>
          <w:p>
            <w:pPr>
              <w:pStyle w:val="Normal"/>
              <w:jc w:val="both"/>
              <w:rPr>
                <w:sz w:val="22"/>
              </w:rPr>
            </w:pPr>
            <w:r>
              <w:rPr>
                <w:sz w:val="22"/>
              </w:rPr>
              <w:t>January ,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Termination Date:</w:t>
            </w:r>
          </w:p>
        </w:tc>
        <w:tc>
          <w:tcPr>
            <w:tcW w:w="6102" w:type="dxa"/>
            <w:tcBorders/>
          </w:tcPr>
          <w:p>
            <w:pPr>
              <w:pStyle w:val="Normal"/>
              <w:jc w:val="both"/>
              <w:rPr>
                <w:sz w:val="22"/>
              </w:rPr>
            </w:pPr>
            <w:r>
              <w:rPr>
                <w:sz w:val="22"/>
              </w:rPr>
              <w:t>January , 2001</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Determination Period(s):</w:t>
            </w:r>
          </w:p>
        </w:tc>
        <w:tc>
          <w:tcPr>
            <w:tcW w:w="6102" w:type="dxa"/>
            <w:tcBorders/>
          </w:tcPr>
          <w:p>
            <w:pPr>
              <w:pStyle w:val="Normal"/>
              <w:jc w:val="both"/>
              <w:rPr>
                <w:sz w:val="22"/>
              </w:rPr>
            </w:pPr>
            <w:r>
              <w:rPr>
                <w:sz w:val="22"/>
              </w:rPr>
              <w:t>Each On-Peak Hour during each calendar day beginning with January , 2001 and ending on January , 2001 (excluding Saturdays, Sundays and Holidays of the North American Electric Reliability Council) for which Buyer has exercised its Daily Swaption.</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Payment Date(s):</w:t>
            </w:r>
          </w:p>
        </w:tc>
        <w:tc>
          <w:tcPr>
            <w:tcW w:w="6102" w:type="dxa"/>
            <w:tcBorders/>
          </w:tcPr>
          <w:p>
            <w:pPr>
              <w:pStyle w:val="Normal"/>
              <w:jc w:val="both"/>
              <w:rPr>
                <w:sz w:val="22"/>
              </w:rPr>
            </w:pPr>
            <w:r>
              <w:rPr>
                <w:sz w:val="22"/>
              </w:rPr>
              <w:t>The fifth (5th) Business Day following the last day of the month that includes the Determination Periods.</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First Floating Amount Details:</w:t>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rPr>
                <w:sz w:val="22"/>
              </w:rPr>
            </w:pPr>
            <w:r>
              <w:rPr>
                <w:sz w:val="22"/>
              </w:rPr>
              <w:t xml:space="preserve">             </w:t>
            </w:r>
            <w:r>
              <w:rPr>
                <w:sz w:val="22"/>
              </w:rPr>
              <w:t>First Floating Price Payor:</w:t>
            </w:r>
          </w:p>
        </w:tc>
        <w:tc>
          <w:tcPr>
            <w:tcW w:w="6102" w:type="dxa"/>
            <w:tcBorders/>
          </w:tcPr>
          <w:p>
            <w:pPr>
              <w:pStyle w:val="Normal"/>
              <w:rPr/>
            </w:pPr>
            <w:r>
              <w:rPr/>
              <w:t>ENA or Counterparty, as the case may be, at the election of ENA on any Exercise Date</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start="720" w:end="0"/>
              <w:rPr>
                <w:sz w:val="22"/>
              </w:rPr>
            </w:pPr>
            <w:r>
              <w:rPr>
                <w:sz w:val="22"/>
              </w:rPr>
              <w:t>First Floating Price:</w:t>
            </w:r>
          </w:p>
        </w:tc>
        <w:tc>
          <w:tcPr>
            <w:tcW w:w="6102" w:type="dxa"/>
            <w:tcBorders/>
          </w:tcPr>
          <w:p>
            <w:pPr>
              <w:pStyle w:val="Normal"/>
              <w:rPr/>
            </w:pPr>
            <w:r>
              <w:rPr>
                <w:sz w:val="22"/>
              </w:rPr>
              <w:t xml:space="preserve">The hourly day-ahead prices as published by the New York Independent System Operator (the “NYISO”) on the last day of the month that includes the applicable Determination Period on the NYISO’s Official web site currently located at </w:t>
            </w:r>
            <w:r>
              <w:rPr>
                <w:sz w:val="22"/>
                <w:u w:val="single"/>
              </w:rPr>
              <w:t>http://mis.nyiso.com/public/index.html</w:t>
            </w:r>
            <w:r>
              <w:rPr>
                <w:sz w:val="22"/>
              </w:rPr>
              <w:t>, or any successor thereto, under the headings “Day Ahead Market LBMP – Zonal; Zonal Prices; N.Y.C. (61761) (Zone J) for “On-Peak Hours” during the applicable Determination Period.</w:t>
            </w:r>
          </w:p>
          <w:p>
            <w:pPr>
              <w:pStyle w:val="Normal"/>
              <w:rPr>
                <w:sz w:val="22"/>
              </w:rPr>
            </w:pPr>
            <w:r>
              <w:rPr>
                <w:sz w:val="22"/>
              </w:rPr>
            </w:r>
          </w:p>
          <w:p>
            <w:pPr>
              <w:pStyle w:val="Normal"/>
              <w:jc w:val="both"/>
              <w:rPr>
                <w:sz w:val="22"/>
              </w:rPr>
            </w:pPr>
            <w:r>
              <w:rPr>
                <w:sz w:val="22"/>
              </w:rPr>
              <w:t>“</w:t>
            </w:r>
            <w:r>
              <w:rPr>
                <w:sz w:val="22"/>
              </w:rPr>
              <w:t>On-Peak Hours” means the hours commencing HE 0800 through HE 2300 Eastern Prevailing Time, Monday through Friday (excluding holidays of the North American Electric Reliability Council).</w:t>
            </w:r>
          </w:p>
        </w:tc>
      </w:tr>
    </w:tbl>
    <w:p>
      <w:pPr>
        <w:pStyle w:val="Normal"/>
        <w:rPr>
          <w:b/>
          <w:sz w:val="22"/>
        </w:rPr>
      </w:pPr>
      <w:r>
        <w:rPr>
          <w:b/>
          <w:sz w:val="22"/>
        </w:rPr>
        <w:t>Second Floating Amount Details:</w:t>
      </w:r>
    </w:p>
    <w:p>
      <w:pPr>
        <w:pStyle w:val="Normal"/>
        <w:rPr>
          <w:b/>
          <w:sz w:val="22"/>
        </w:rPr>
      </w:pPr>
      <w:r>
        <w:rPr>
          <w:b/>
          <w:sz w:val="22"/>
        </w:rPr>
      </w:r>
    </w:p>
    <w:p>
      <w:pPr>
        <w:pStyle w:val="Normal"/>
        <w:ind w:hanging="3600" w:start="4320" w:end="0"/>
        <w:jc w:val="both"/>
        <w:rPr/>
      </w:pPr>
      <w:r>
        <w:rPr>
          <w:sz w:val="22"/>
        </w:rPr>
        <w:t>Second Floating Price Payor:</w:t>
        <w:tab/>
        <w:t xml:space="preserve">ENA or </w:t>
      </w:r>
      <w:r>
        <w:rPr/>
        <w:t>Counterparty, as the case may be, at the election of ENA on any Exercise Date</w:t>
      </w:r>
      <w:r>
        <w:rPr>
          <w:sz w:val="22"/>
        </w:rPr>
        <w:tab/>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Second Floating Price:</w:t>
            </w:r>
          </w:p>
        </w:tc>
        <w:tc>
          <w:tcPr>
            <w:tcW w:w="6102" w:type="dxa"/>
            <w:tcBorders/>
          </w:tcPr>
          <w:p>
            <w:pPr>
              <w:pStyle w:val="Normal"/>
              <w:rPr/>
            </w:pPr>
            <w:r>
              <w:rPr>
                <w:sz w:val="22"/>
              </w:rPr>
              <w:t xml:space="preserve">The hourly day-ahead prices as published by the New York Independent System Operator (the “NYISO”) on the last day of the month that includes the applicable Determination Period on the NYISO’s official web site Currently located at </w:t>
            </w:r>
            <w:r>
              <w:rPr>
                <w:sz w:val="22"/>
                <w:u w:val="single"/>
              </w:rPr>
              <w:t>http://mis.nyiso.com/public/index.html</w:t>
            </w:r>
            <w:r>
              <w:rPr>
                <w:sz w:val="22"/>
              </w:rPr>
              <w:t>, or any successor thereto, under the headings “Time Weighted/Integrated Real Time LBMP – Zonal; Zonal Prices; N.Y.C. (61761) (Zone J) for “On-Peak Hours” during the applicable Determination Period.</w:t>
            </w:r>
          </w:p>
          <w:p>
            <w:pPr>
              <w:pStyle w:val="Normal"/>
              <w:rPr>
                <w:sz w:val="22"/>
              </w:rPr>
            </w:pPr>
            <w:r>
              <w:rPr>
                <w:sz w:val="22"/>
              </w:rPr>
            </w:r>
          </w:p>
          <w:p>
            <w:pPr>
              <w:pStyle w:val="Normal"/>
              <w:jc w:val="both"/>
              <w:rPr>
                <w:sz w:val="22"/>
              </w:rPr>
            </w:pPr>
            <w:r>
              <w:rPr>
                <w:sz w:val="22"/>
              </w:rPr>
              <w:t>“</w:t>
            </w:r>
            <w:r>
              <w:rPr>
                <w:sz w:val="22"/>
              </w:rPr>
              <w:t>On-Peak Hours” means the hours commencing HE 0800 through HE 2300 Eastern Prevailing Time, Monday through Friday (excluding holidays of the North American Electric Reliability Council).</w:t>
            </w:r>
          </w:p>
        </w:tc>
      </w:tr>
    </w:tbl>
    <w:p>
      <w:pPr>
        <w:pStyle w:val="Normal"/>
        <w:jc w:val="both"/>
        <w:rPr>
          <w:b/>
          <w:sz w:val="22"/>
        </w:rPr>
      </w:pPr>
      <w:r>
        <w:rPr>
          <w:b/>
          <w:sz w:val="22"/>
        </w:rPr>
      </w:r>
    </w:p>
    <w:p>
      <w:pPr>
        <w:pStyle w:val="Normal"/>
        <w:jc w:val="both"/>
        <w:rPr>
          <w:b/>
          <w:sz w:val="22"/>
        </w:rPr>
      </w:pPr>
      <w:r>
        <w:rPr>
          <w:b/>
          <w:sz w:val="22"/>
        </w:rPr>
        <w:t>Contractual Currency:</w:t>
        <w:tab/>
        <w:tab/>
        <w:tab/>
      </w:r>
      <w:r>
        <w:rPr>
          <w:sz w:val="22"/>
        </w:rPr>
        <w:t>US Dollars</w:t>
      </w:r>
    </w:p>
    <w:p>
      <w:pPr>
        <w:pStyle w:val="Normal"/>
        <w:jc w:val="both"/>
        <w:rPr>
          <w:b/>
          <w:sz w:val="22"/>
        </w:rPr>
      </w:pPr>
      <w:r>
        <w:rPr>
          <w:b/>
          <w:sz w:val="22"/>
        </w:rPr>
      </w:r>
    </w:p>
    <w:p>
      <w:pPr>
        <w:pStyle w:val="Normal"/>
        <w:jc w:val="both"/>
        <w:rPr/>
      </w:pPr>
      <w:r>
        <w:rPr>
          <w:b/>
          <w:sz w:val="22"/>
        </w:rPr>
        <w:t>Governing Law:</w:t>
      </w:r>
      <w:r>
        <w:rPr>
          <w:sz w:val="22"/>
        </w:rPr>
        <w:tab/>
        <w:tab/>
        <w:tab/>
        <w:tab/>
        <w:t>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r>
        <w:trPr/>
        <w:tc>
          <w:tcPr>
            <w:tcW w:w="4338" w:type="dxa"/>
            <w:tcBorders/>
          </w:tcPr>
          <w:p>
            <w:pPr>
              <w:pStyle w:val="Normal"/>
              <w:snapToGrid w:val="false"/>
              <w:rPr>
                <w:b/>
                <w:sz w:val="22"/>
              </w:rPr>
            </w:pPr>
            <w:r>
              <w:rPr>
                <w:b/>
                <w:sz w:val="22"/>
              </w:rPr>
            </w:r>
          </w:p>
        </w:tc>
        <w:tc>
          <w:tcPr>
            <w:tcW w:w="6102" w:type="dxa"/>
            <w:tcBorders/>
          </w:tcPr>
          <w:p>
            <w:pPr>
              <w:pStyle w:val="Normal"/>
              <w:snapToGrid w:val="false"/>
              <w:jc w:val="both"/>
              <w:rPr>
                <w:b/>
                <w:sz w:val="22"/>
              </w:rPr>
            </w:pPr>
            <w:r>
              <w:rPr>
                <w:b/>
                <w:sz w:val="22"/>
              </w:rPr>
            </w:r>
          </w:p>
        </w:tc>
      </w:tr>
      <w:tr>
        <w:trPr/>
        <w:tc>
          <w:tcPr>
            <w:tcW w:w="4338" w:type="dxa"/>
            <w:tcBorders/>
          </w:tcPr>
          <w:p>
            <w:pPr>
              <w:pStyle w:val="Normal"/>
              <w:rPr>
                <w:b/>
                <w:sz w:val="22"/>
              </w:rPr>
            </w:pPr>
            <w:r>
              <w:rPr>
                <w:b/>
                <w:sz w:val="22"/>
              </w:rPr>
              <w:t>Other Specials Provisions:</w:t>
            </w:r>
          </w:p>
        </w:tc>
        <w:tc>
          <w:tcPr>
            <w:tcW w:w="6102" w:type="dxa"/>
            <w:tcBorders/>
          </w:tcPr>
          <w:p>
            <w:pPr>
              <w:pStyle w:val="Normal"/>
              <w:jc w:val="both"/>
              <w:rPr>
                <w:sz w:val="22"/>
              </w:rPr>
            </w:pPr>
            <w:r>
              <w:rPr>
                <w:sz w:val="22"/>
              </w:rPr>
              <w:t>For purposes of the Transaction, Annex A attached hereto is amended to provide that the word “Fixed” as it appears in Annex A is replaced by the words “First Floating”</w:t>
              <w:br/>
              <w:t>and the word “Floating” as it appears in Annex A is replaced by the words “Second Floating.”</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North America Corp.</w:t>
            </w:r>
          </w:p>
        </w:tc>
        <w:tc>
          <w:tcPr>
            <w:tcW w:w="6012" w:type="dxa"/>
            <w:tcBorders/>
          </w:tcPr>
          <w:p>
            <w:pPr>
              <w:pStyle w:val="Normal"/>
              <w:rPr>
                <w:sz w:val="22"/>
              </w:rPr>
            </w:pPr>
            <w:r>
              <w:rPr>
                <w:sz w:val="22"/>
              </w:rPr>
              <w:t>NRG Power Marketing,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____________________</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PO Box 4428</w:t>
            </w:r>
          </w:p>
        </w:tc>
        <w:tc>
          <w:tcPr>
            <w:tcW w:w="4932" w:type="dxa"/>
            <w:tcBorders/>
          </w:tcPr>
          <w:p>
            <w:pPr>
              <w:pStyle w:val="Normal"/>
              <w:rPr>
                <w:sz w:val="22"/>
              </w:rPr>
            </w:pPr>
            <w:r>
              <w:rPr>
                <w:sz w:val="22"/>
              </w:rPr>
              <w:t>Wire Transfer to: 111000012</w:t>
            </w:r>
          </w:p>
        </w:tc>
      </w:tr>
      <w:tr>
        <w:trPr/>
        <w:tc>
          <w:tcPr>
            <w:tcW w:w="5508" w:type="dxa"/>
            <w:tcBorders/>
          </w:tcPr>
          <w:p>
            <w:pPr>
              <w:pStyle w:val="Normal"/>
              <w:rPr>
                <w:sz w:val="22"/>
              </w:rPr>
            </w:pPr>
            <w:r>
              <w:rPr>
                <w:sz w:val="22"/>
              </w:rPr>
              <w:t>Houston, TX  77210-4428</w:t>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ing4"/>
        <w:ind w:hanging="0" w:start="0"/>
        <w:rPr/>
      </w:pPr>
      <w:r>
        <w:rPr/>
        <w:t>ANNEX A</w:t>
      </w:r>
    </w:p>
    <w:p>
      <w:pPr>
        <w:pStyle w:val="Normal"/>
        <w:rPr/>
      </w:pPr>
      <w:r>
        <w:rPr/>
      </w:r>
    </w:p>
    <w:p>
      <w:pPr>
        <w:pStyle w:val="Heading5"/>
        <w:ind w:hanging="0" w:start="0"/>
        <w:rPr/>
      </w:pPr>
      <w:r>
        <w:rPr/>
        <w:t>GENERAL TERMS AND CONDITIONS</w:t>
      </w:r>
    </w:p>
    <w:p>
      <w:pPr>
        <w:pStyle w:val="Normal"/>
        <w:jc w:val="center"/>
        <w:rPr>
          <w:b/>
          <w:sz w:val="20"/>
          <w:u w:val="single"/>
        </w:rPr>
      </w:pPr>
      <w:r>
        <w:rPr>
          <w:b/>
          <w:sz w:val="20"/>
          <w:u w:val="single"/>
        </w:rPr>
      </w:r>
    </w:p>
    <w:p>
      <w:pPr>
        <w:pStyle w:val="Normal"/>
        <w:rPr>
          <w:b/>
          <w:sz w:val="22"/>
          <w:u w:val="single"/>
        </w:rPr>
      </w:pPr>
      <w:r>
        <w:rPr>
          <w:b/>
          <w:sz w:val="22"/>
          <w:u w:val="single"/>
        </w:rPr>
      </w:r>
    </w:p>
    <w:p>
      <w:pPr>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sz w:val="22"/>
        </w:rPr>
      </w:pPr>
      <w:r>
        <w:rPr>
          <w:sz w:val="22"/>
        </w:rPr>
      </w:r>
    </w:p>
    <w:sectPr>
      <w:type w:val="continuous"/>
      <w:pgSz w:w="12240" w:h="15840"/>
      <w:pgMar w:left="1152" w:right="864"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b/>
      </w:rPr>
      <w:t>DRAFT-For Discussion Purposes Only</w:t>
    </w: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b/>
      <w:sz w:val="22"/>
    </w:rPr>
  </w:style>
  <w:style w:type="paragraph" w:styleId="Heading7">
    <w:name w:val="heading 7"/>
    <w:basedOn w:val="Normal"/>
    <w:next w:val="Normal"/>
    <w:qFormat/>
    <w:pPr>
      <w:keepNext w:val="true"/>
      <w:numPr>
        <w:ilvl w:val="6"/>
        <w:numId w:val="1"/>
      </w:numPr>
      <w:outlineLvl w:val="6"/>
    </w:pPr>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2001-01-19T13:17:00Z</dcterms:created>
  <dc:creator>ECT</dc:creator>
  <dc:description/>
  <dc:language>en-CA</dc:language>
  <cp:lastModifiedBy>sshackl</cp:lastModifiedBy>
  <cp:lastPrinted>2001-01-19T10:18:00Z</cp:lastPrinted>
  <dcterms:modified xsi:type="dcterms:W3CDTF">2001-01-19T13:49:00Z</dcterms:modified>
  <cp:revision>9</cp:revision>
  <dc:subject/>
  <dc:title/>
</cp:coreProperties>
</file>