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SUPREME COURT OF THE STATE OF NEW YORK</w:t>
      </w:r>
    </w:p>
    <w:p>
      <w:pPr>
        <w:pStyle w:val="Normal"/>
        <w:rPr/>
      </w:pPr>
      <w:r>
        <w:rPr/>
        <w:t>COUNTY OF NEW YORK</w:t>
      </w:r>
    </w:p>
    <w:p>
      <w:pPr>
        <w:pStyle w:val="Normal"/>
        <w:rPr/>
      </w:pPr>
      <w:r>
        <w:rPr/>
        <w:t>------------------------------------------------------------------X</w:t>
      </w:r>
    </w:p>
    <w:p>
      <w:pPr>
        <w:pStyle w:val="Normal"/>
        <w:rPr/>
      </w:pPr>
      <w:r>
        <w:rPr/>
        <w:t>ENRON NORTH AMERICA CORP.,</w:t>
        <w:tab/>
        <w:tab/>
        <w:tab/>
        <w:tab/>
        <w:t>Index No.:</w:t>
      </w:r>
    </w:p>
    <w:p>
      <w:pPr>
        <w:pStyle w:val="Normal"/>
        <w:rPr/>
      </w:pPr>
      <w:r>
        <w:rPr/>
      </w:r>
    </w:p>
    <w:p>
      <w:pPr>
        <w:pStyle w:val="Normal"/>
        <w:rPr/>
      </w:pPr>
      <w:r>
        <w:rPr/>
        <w:tab/>
        <w:tab/>
        <w:tab/>
        <w:tab/>
        <w:t>Plaintiff,</w:t>
        <w:tab/>
        <w:tab/>
        <w:tab/>
        <w:tab/>
        <w:t>Date Purchased:</w:t>
      </w:r>
    </w:p>
    <w:p>
      <w:pPr>
        <w:pStyle w:val="Normal"/>
        <w:rPr/>
      </w:pPr>
      <w:r>
        <w:rPr/>
      </w:r>
    </w:p>
    <w:p>
      <w:pPr>
        <w:pStyle w:val="Normal"/>
        <w:rPr/>
      </w:pPr>
      <w:r>
        <w:rPr/>
        <w:tab/>
        <w:tab/>
        <w:t>-against-</w:t>
        <w:tab/>
        <w:tab/>
        <w:tab/>
        <w:tab/>
        <w:tab/>
      </w:r>
    </w:p>
    <w:p>
      <w:pPr>
        <w:pStyle w:val="Normal"/>
        <w:rPr/>
      </w:pPr>
      <w:r>
        <w:rPr/>
      </w:r>
    </w:p>
    <w:p>
      <w:pPr>
        <w:pStyle w:val="Normal"/>
        <w:rPr/>
      </w:pPr>
      <w:r>
        <w:rPr/>
        <w:t>BLUE GRASS SYNFUEL, L.L.C.,</w:t>
        <w:tab/>
        <w:tab/>
        <w:tab/>
        <w:tab/>
        <w:tab/>
      </w:r>
      <w:r>
        <w:rPr>
          <w:b/>
          <w:u w:val="single"/>
        </w:rPr>
        <w:t>COMPLAINT</w:t>
      </w:r>
    </w:p>
    <w:p>
      <w:pPr>
        <w:pStyle w:val="Normal"/>
        <w:rPr>
          <w:b/>
          <w:u w:val="single"/>
        </w:rPr>
      </w:pPr>
      <w:r>
        <w:rPr>
          <w:b/>
          <w:u w:val="single"/>
        </w:rPr>
      </w:r>
    </w:p>
    <w:p>
      <w:pPr>
        <w:pStyle w:val="Normal"/>
        <w:rPr/>
      </w:pPr>
      <w:r>
        <w:rPr/>
        <w:tab/>
        <w:tab/>
        <w:tab/>
        <w:tab/>
        <w:t>Defendant.</w:t>
      </w:r>
    </w:p>
    <w:p>
      <w:pPr>
        <w:pStyle w:val="Normal"/>
        <w:rPr/>
      </w:pPr>
      <w:r>
        <w:rPr/>
        <w:t>-------------------------------------------------------------------X</w:t>
      </w:r>
    </w:p>
    <w:p>
      <w:pPr>
        <w:pStyle w:val="Normal"/>
        <w:rPr/>
      </w:pPr>
      <w:r>
        <w:rPr/>
      </w:r>
    </w:p>
    <w:p>
      <w:pPr>
        <w:pStyle w:val="Normal"/>
        <w:rPr/>
      </w:pPr>
      <w:r>
        <w:rPr/>
      </w:r>
    </w:p>
    <w:p>
      <w:pPr>
        <w:pStyle w:val="50d"/>
        <w:rPr/>
      </w:pPr>
      <w:r>
        <w:rPr/>
        <w:t>Plaintiff ENRON NORTH AMERICA CORP., by its attorneys, Buchanan Ingersoll Professional Corporation, as and for its Complaint against defendant BLUE GRASS SYNFUEL, L.L.C., respectfully alleges as follows:</w:t>
      </w:r>
    </w:p>
    <w:p>
      <w:pPr>
        <w:pStyle w:val="Normal"/>
        <w:spacing w:lineRule="auto" w:line="480"/>
        <w:jc w:val="center"/>
        <w:rPr>
          <w:b/>
          <w:u w:val="single"/>
        </w:rPr>
      </w:pPr>
      <w:r>
        <w:rPr>
          <w:b/>
          <w:u w:val="single"/>
        </w:rPr>
        <w:t>INTRODUCTION</w:t>
      </w:r>
    </w:p>
    <w:p>
      <w:pPr>
        <w:pStyle w:val="Normal"/>
        <w:numPr>
          <w:ilvl w:val="0"/>
          <w:numId w:val="3"/>
        </w:numPr>
        <w:tabs>
          <w:tab w:val="clear" w:pos="720"/>
        </w:tabs>
        <w:spacing w:lineRule="auto" w:line="480"/>
        <w:ind w:firstLine="720" w:start="0" w:end="0"/>
        <w:rPr/>
      </w:pPr>
      <w:r>
        <w:rPr/>
        <w:t>Plaintiff, ENRON NORTH AMERICA CORP. ("ENA") has been forced to bring this action in order to obtain a declaratory judgment that ENA's planned supply of coal to defendant BLUE GRASS SYNFUEL, L.L.C. ("BGS") complies with an August 18, 2000, Coal Purchase Agreement between the parties ("Coal Agreement"), a true and correct copy of which is attached as Exhibit "A" hereto, and that if BGS purchases its coal requirements from a third party, as it is threatening to do, alleging incorrectly that ENA's coal fails to meet the sizing requirement of the Coal Agreement, BGS will be in material default of the Coal Agreement.  More specifically, the Coal Agreement requires the coal to be supplied thereunder to meet certain specifications, including a sizing requirement of "Generally, 3/4 inch x 0 inch", when the coal reaches the Delivery Point, which is defined in the Coal Agreement as the Belt Scale at BGS' synfuel Facility.  ENA's coal has and will continue to be delivered in accordance with the sizing requirement agreed to in the Coal Agreement.</w:t>
      </w:r>
    </w:p>
    <w:p>
      <w:pPr>
        <w:pStyle w:val="Normal"/>
        <w:spacing w:lineRule="auto" w:line="480"/>
        <w:jc w:val="center"/>
        <w:rPr>
          <w:b/>
          <w:u w:val="single"/>
        </w:rPr>
      </w:pPr>
      <w:r>
        <w:rPr>
          <w:b/>
          <w:u w:val="single"/>
        </w:rPr>
        <w:t>THE PARTIES</w:t>
      </w:r>
    </w:p>
    <w:p>
      <w:pPr>
        <w:pStyle w:val="Normal"/>
        <w:numPr>
          <w:ilvl w:val="0"/>
          <w:numId w:val="3"/>
        </w:numPr>
        <w:tabs>
          <w:tab w:val="clear" w:pos="720"/>
        </w:tabs>
        <w:spacing w:lineRule="auto" w:line="480"/>
        <w:ind w:firstLine="720" w:start="0" w:end="0"/>
        <w:rPr/>
      </w:pPr>
      <w:r>
        <w:rPr/>
        <w:t>Plaintiff ENA is a corporation organized and existing under the laws of the State of Delaware and has an office and place of business located at 1400 Smith Street, Houston, Texas 77002.</w:t>
      </w:r>
    </w:p>
    <w:p>
      <w:pPr>
        <w:pStyle w:val="Normal"/>
        <w:numPr>
          <w:ilvl w:val="0"/>
          <w:numId w:val="3"/>
        </w:numPr>
        <w:tabs>
          <w:tab w:val="clear" w:pos="720"/>
        </w:tabs>
        <w:spacing w:lineRule="auto" w:line="480"/>
        <w:ind w:firstLine="720" w:start="0" w:end="0"/>
        <w:rPr/>
      </w:pPr>
      <w:r>
        <w:rPr/>
        <w:t>Defendant BGS is a limited liability company organized and existing under the laws of the State of Delaware and has an office and place of business located at 58 Commerce Road, Stamford, Connecticut 06902.</w:t>
      </w:r>
    </w:p>
    <w:p>
      <w:pPr>
        <w:pStyle w:val="Normal"/>
        <w:spacing w:lineRule="auto" w:line="480"/>
        <w:jc w:val="center"/>
        <w:rPr>
          <w:b/>
          <w:u w:val="single"/>
        </w:rPr>
      </w:pPr>
      <w:r>
        <w:rPr>
          <w:b/>
          <w:u w:val="single"/>
        </w:rPr>
        <w:t>JURISDICTION; VENUE; WAIVER OF JURY TRIAL</w:t>
      </w:r>
    </w:p>
    <w:p>
      <w:pPr>
        <w:pStyle w:val="Normal"/>
        <w:numPr>
          <w:ilvl w:val="0"/>
          <w:numId w:val="3"/>
        </w:numPr>
        <w:tabs>
          <w:tab w:val="clear" w:pos="720"/>
        </w:tabs>
        <w:spacing w:lineRule="auto" w:line="480"/>
        <w:ind w:firstLine="720" w:start="0" w:end="0"/>
        <w:rPr/>
      </w:pPr>
      <w:r>
        <w:rPr/>
        <w:t>Under Article 13 of the Coal Agreement, the parties have agreed that the Coal Agreement shall be governed by and construed in accordance with New York law; have agreed to submit to the jurisdiction and venue of this Court; and, have waived all rights to trial by jury.</w:t>
      </w:r>
    </w:p>
    <w:p>
      <w:pPr>
        <w:pStyle w:val="Normal"/>
        <w:spacing w:lineRule="auto" w:line="480"/>
        <w:jc w:val="center"/>
        <w:rPr>
          <w:b/>
          <w:u w:val="single"/>
        </w:rPr>
      </w:pPr>
      <w:r>
        <w:rPr>
          <w:b/>
          <w:u w:val="single"/>
        </w:rPr>
        <w:t>THE CONTROVERSY</w:t>
      </w:r>
    </w:p>
    <w:p>
      <w:pPr>
        <w:pStyle w:val="Normal"/>
        <w:numPr>
          <w:ilvl w:val="0"/>
          <w:numId w:val="3"/>
        </w:numPr>
        <w:tabs>
          <w:tab w:val="clear" w:pos="720"/>
        </w:tabs>
        <w:spacing w:lineRule="auto" w:line="480"/>
        <w:ind w:firstLine="720" w:start="0" w:end="0"/>
        <w:rPr/>
      </w:pPr>
      <w:r>
        <w:rPr/>
        <w:t>During the term of the Coal Agreement, which expires pursuant to Section 2.1 on December 31, 2007, ENA is obligated, under Section 3.1, to supply to BGS all "Coal Feedstock" required by BGS' synfuel Facility and to maintain a minimum stockpile of 9,000 Tons of Coal Feedstock for the said Facility.</w:t>
      </w:r>
    </w:p>
    <w:p>
      <w:pPr>
        <w:pStyle w:val="Normal"/>
        <w:numPr>
          <w:ilvl w:val="0"/>
          <w:numId w:val="3"/>
        </w:numPr>
        <w:tabs>
          <w:tab w:val="clear" w:pos="720"/>
        </w:tabs>
        <w:spacing w:lineRule="auto" w:line="480"/>
        <w:ind w:firstLine="720" w:start="0" w:end="0"/>
        <w:rPr/>
      </w:pPr>
      <w:r>
        <w:rPr/>
        <w:t>"Coal Feedstock" is defined in Section 1.1 of the Coal Agreement as follows: "coal feedstock and related materials which were separated from run of mine or similar coal during prior cleaning, screening  or preparation operations and which will be chemically combined at the Facility with a binder material in order to produce Synthetic Fuel; provided, however, in no event shall the term "Coal Feedstock" include any previously produced Synthetic Fuel."</w:t>
      </w:r>
    </w:p>
    <w:p>
      <w:pPr>
        <w:pStyle w:val="Normal"/>
        <w:numPr>
          <w:ilvl w:val="0"/>
          <w:numId w:val="3"/>
        </w:numPr>
        <w:tabs>
          <w:tab w:val="clear" w:pos="720"/>
        </w:tabs>
        <w:spacing w:lineRule="auto" w:line="480"/>
        <w:ind w:firstLine="720" w:start="0" w:end="0"/>
        <w:rPr/>
      </w:pPr>
      <w:r>
        <w:rPr/>
        <w:t>Under Section 4.1 of the Coal Agreement, it is ENA's obligation to deliver Coal Feedstock, which meets the specifications that are set forth on Schedule 4.1, at the Delivery Point.  In Section 1.1, the Delivery Point is defined to be the Belt Scale which is therein defined as ". . . the certified weight measuring device which is made a part of the conveyor belt system of the Facility which is used to transfer Coal Feedstock between the receiving hopper (downstream of the crusher) and the mixer (upstream of the blender and the briquetter)."</w:t>
      </w:r>
    </w:p>
    <w:p>
      <w:pPr>
        <w:pStyle w:val="Normal"/>
        <w:numPr>
          <w:ilvl w:val="0"/>
          <w:numId w:val="3"/>
        </w:numPr>
        <w:tabs>
          <w:tab w:val="clear" w:pos="720"/>
        </w:tabs>
        <w:spacing w:lineRule="auto" w:line="480"/>
        <w:ind w:firstLine="720" w:start="0" w:end="0"/>
        <w:rPr/>
      </w:pPr>
      <w:r>
        <w:rPr/>
        <w:t>Schedule 4.1 requires a size distribution at the Delivery Point ("Sizing Requirement") of:</w:t>
      </w:r>
    </w:p>
    <w:p>
      <w:pPr>
        <w:pStyle w:val="Normal"/>
        <w:spacing w:before="0" w:after="240"/>
        <w:ind w:start="1440" w:end="1440"/>
        <w:rPr/>
      </w:pPr>
      <w:r>
        <w:rPr/>
        <w:t>Generally, 3/4 inch x 0 inch.  Sizing within a normal Bell curve with the apex of the curve occurring at approximately 1/4 inch.</w:t>
      </w:r>
    </w:p>
    <w:p>
      <w:pPr>
        <w:pStyle w:val="Normal"/>
        <w:numPr>
          <w:ilvl w:val="0"/>
          <w:numId w:val="3"/>
        </w:numPr>
        <w:tabs>
          <w:tab w:val="clear" w:pos="720"/>
        </w:tabs>
        <w:spacing w:lineRule="auto" w:line="480"/>
        <w:ind w:firstLine="720" w:start="0" w:end="0"/>
        <w:rPr/>
      </w:pPr>
      <w:r>
        <w:rPr/>
        <w:t>It has always been ENA's intent to crush the Coal Feedstock at the Facility's crusher near the Facility immediately before delivery to the Delivery Point in order to meet the Sizing Requirement.</w:t>
      </w:r>
    </w:p>
    <w:p>
      <w:pPr>
        <w:pStyle w:val="Normal"/>
        <w:numPr>
          <w:ilvl w:val="0"/>
          <w:numId w:val="3"/>
        </w:numPr>
        <w:tabs>
          <w:tab w:val="clear" w:pos="720"/>
        </w:tabs>
        <w:spacing w:lineRule="auto" w:line="480"/>
        <w:ind w:firstLine="720" w:start="0" w:end="0"/>
        <w:rPr/>
      </w:pPr>
      <w:r>
        <w:rPr/>
        <w:t>BGS has recently erroneously and belatedly taken the position, in direct contravention of Sections 3.1, 4.1 and Schedule 4.1 of the Coal Agreement, with ENA that the Sizing Requirement is to be determined before the Coal Feedstock reaches the crusher and before the Delivery Point.  ENA has been notified by counsel for BGS that on this erroneous basis, BGS has improperly rejected Coal Feedstock delivered to BGS that fully complies with ENA's obligations under Section 4.1 and Schedule 4.1.  Further, counsel for BGS has confirmed in such notice, a true and correct copy of which is attached as Exhibit "B" hereto, that BGS has purchased Coal Feedstock from a third party in breach of the Coal Agreement.</w:t>
      </w:r>
    </w:p>
    <w:p>
      <w:pPr>
        <w:pStyle w:val="Normal"/>
        <w:numPr>
          <w:ilvl w:val="0"/>
          <w:numId w:val="3"/>
        </w:numPr>
        <w:tabs>
          <w:tab w:val="clear" w:pos="720"/>
        </w:tabs>
        <w:spacing w:lineRule="auto" w:line="480"/>
        <w:ind w:firstLine="720" w:start="0" w:end="0"/>
        <w:rPr/>
      </w:pPr>
      <w:r>
        <w:rPr/>
        <w:t>BGS' contentions set forth above are erroneous under the clear and unambiguous terms of the Coal Agreement.</w:t>
      </w:r>
    </w:p>
    <w:p>
      <w:pPr>
        <w:pStyle w:val="Normal"/>
        <w:numPr>
          <w:ilvl w:val="0"/>
          <w:numId w:val="3"/>
        </w:numPr>
        <w:tabs>
          <w:tab w:val="clear" w:pos="720"/>
        </w:tabs>
        <w:spacing w:lineRule="auto" w:line="480"/>
        <w:ind w:firstLine="720" w:start="0" w:end="0"/>
        <w:rPr/>
      </w:pPr>
      <w:r>
        <w:rPr/>
        <w:t>BGS has threatened ENA that it will materially breach the Coal Agreement and obtain its requirements elsewhere if ENA continues to refuse to supply a product that is in accordance with BGS' demands that have no contractual basis whatsoever.  In fact, as aforesaid, BGS has rejected Coal Feedstock supplied by ENA, and has purchased Coal Feedstock from a third party, in breach of the Coal Agreement.</w:t>
      </w:r>
    </w:p>
    <w:p>
      <w:pPr>
        <w:pStyle w:val="Normal"/>
        <w:numPr>
          <w:ilvl w:val="0"/>
          <w:numId w:val="3"/>
        </w:numPr>
        <w:tabs>
          <w:tab w:val="clear" w:pos="720"/>
        </w:tabs>
        <w:spacing w:lineRule="auto" w:line="480"/>
        <w:ind w:firstLine="720" w:start="0" w:end="0"/>
        <w:rPr/>
      </w:pPr>
      <w:r>
        <w:rPr/>
        <w:t>ENA has invested substantial sums and has made substantial commitments in preparation for its performance under the Coal Agreement and stands ready, willing and able to perform all of its obligations thereunder.</w:t>
      </w:r>
    </w:p>
    <w:p>
      <w:pPr>
        <w:pStyle w:val="Normal"/>
        <w:jc w:val="center"/>
        <w:rPr>
          <w:b/>
        </w:rPr>
      </w:pPr>
      <w:r>
        <w:rPr>
          <w:b/>
        </w:rPr>
        <w:t>AS AND FOR A FIRST CAUSE OF ACTION:</w:t>
      </w:r>
    </w:p>
    <w:p>
      <w:pPr>
        <w:pStyle w:val="Normal"/>
        <w:spacing w:lineRule="auto" w:line="480"/>
        <w:jc w:val="center"/>
        <w:rPr>
          <w:b/>
          <w:u w:val="single"/>
        </w:rPr>
      </w:pPr>
      <w:r>
        <w:rPr>
          <w:b/>
          <w:u w:val="single"/>
        </w:rPr>
        <w:t>FOR DECLARATORY JUDGMENT</w:t>
      </w:r>
    </w:p>
    <w:p>
      <w:pPr>
        <w:pStyle w:val="Normal"/>
        <w:numPr>
          <w:ilvl w:val="0"/>
          <w:numId w:val="3"/>
        </w:numPr>
        <w:tabs>
          <w:tab w:val="clear" w:pos="720"/>
        </w:tabs>
        <w:spacing w:lineRule="auto" w:line="480"/>
        <w:ind w:firstLine="720" w:start="0" w:end="0"/>
        <w:rPr/>
      </w:pPr>
      <w:r>
        <w:rPr/>
        <w:t>ENA repeats and realleges each and every allegation set forth in paragraphs "1" through "13" of this Complaint as though fully set forth herein.</w:t>
      </w:r>
    </w:p>
    <w:p>
      <w:pPr>
        <w:pStyle w:val="Normal"/>
        <w:numPr>
          <w:ilvl w:val="0"/>
          <w:numId w:val="3"/>
        </w:numPr>
        <w:tabs>
          <w:tab w:val="clear" w:pos="720"/>
        </w:tabs>
        <w:spacing w:lineRule="auto" w:line="480"/>
        <w:ind w:firstLine="720" w:start="0" w:end="0"/>
        <w:rPr/>
      </w:pPr>
      <w:r>
        <w:rPr/>
        <w:t>There is an actual, present and existing dispute between ENA and BGS concerning the parties' rights, obligations and performance under the Coal Agreement.</w:t>
      </w:r>
    </w:p>
    <w:p>
      <w:pPr>
        <w:pStyle w:val="Normal"/>
        <w:numPr>
          <w:ilvl w:val="0"/>
          <w:numId w:val="3"/>
        </w:numPr>
        <w:tabs>
          <w:tab w:val="clear" w:pos="720"/>
        </w:tabs>
        <w:spacing w:lineRule="auto" w:line="480"/>
        <w:ind w:firstLine="720" w:start="0" w:end="0"/>
        <w:rPr/>
      </w:pPr>
      <w:r>
        <w:rPr/>
        <w:t>By reason of the foregoing, ENA is entitled to a judgment declaring that ENA's planned performance of meeting the Sizing Requirements at the Delivery Point complies fully with the terms of the Coal Agreement that BGS' position under the Coal Agreement is erroneous and in contradiction thereto.</w:t>
      </w:r>
    </w:p>
    <w:p>
      <w:pPr>
        <w:pStyle w:val="Normal"/>
        <w:numPr>
          <w:ilvl w:val="0"/>
          <w:numId w:val="3"/>
        </w:numPr>
        <w:tabs>
          <w:tab w:val="clear" w:pos="720"/>
        </w:tabs>
        <w:spacing w:lineRule="auto" w:line="480"/>
        <w:ind w:firstLine="720" w:start="0" w:end="0"/>
        <w:rPr/>
      </w:pPr>
      <w:r>
        <w:rPr/>
        <w:t>The Court's determination on this issue will be final and conclusive.</w:t>
      </w:r>
      <w:r>
        <w:br w:type="page"/>
      </w:r>
    </w:p>
    <w:p>
      <w:pPr>
        <w:pStyle w:val="Normal"/>
        <w:spacing w:lineRule="auto" w:line="480"/>
        <w:jc w:val="center"/>
        <w:rPr>
          <w:b/>
        </w:rPr>
      </w:pPr>
      <w:r>
        <w:rPr>
          <w:b/>
        </w:rPr>
        <w:t>AS AND FOR A SECOND CAUSE OF ACTION:</w:t>
      </w:r>
    </w:p>
    <w:p>
      <w:pPr>
        <w:pStyle w:val="Normal"/>
        <w:spacing w:lineRule="auto" w:line="480"/>
        <w:jc w:val="center"/>
        <w:rPr>
          <w:b/>
          <w:u w:val="single"/>
        </w:rPr>
      </w:pPr>
      <w:r>
        <w:rPr>
          <w:b/>
          <w:u w:val="single"/>
        </w:rPr>
        <w:t>SPECIFIC PERFORMANCE OF THE COAL AGREEMENT</w:t>
      </w:r>
    </w:p>
    <w:p>
      <w:pPr>
        <w:pStyle w:val="Normal"/>
        <w:numPr>
          <w:ilvl w:val="0"/>
          <w:numId w:val="3"/>
        </w:numPr>
        <w:tabs>
          <w:tab w:val="clear" w:pos="720"/>
        </w:tabs>
        <w:spacing w:lineRule="auto" w:line="480"/>
        <w:ind w:firstLine="720" w:start="0" w:end="0"/>
        <w:rPr/>
      </w:pPr>
      <w:r>
        <w:rPr/>
        <w:t>ENA repeats and realleges each and every allegation set forth in paragraphs "1" through "17" of this Complaint as though fully set forth herein.</w:t>
      </w:r>
    </w:p>
    <w:p>
      <w:pPr>
        <w:pStyle w:val="Normal"/>
        <w:numPr>
          <w:ilvl w:val="0"/>
          <w:numId w:val="3"/>
        </w:numPr>
        <w:tabs>
          <w:tab w:val="clear" w:pos="720"/>
        </w:tabs>
        <w:spacing w:lineRule="auto" w:line="480"/>
        <w:ind w:firstLine="720" w:start="0" w:end="0"/>
        <w:rPr/>
      </w:pPr>
      <w:r>
        <w:rPr/>
        <w:t>ENA does not have an adequate remedy at law and will be irreparably harmed if BGS fails to perform the Coal Agreement in accordance with its terms.</w:t>
      </w:r>
    </w:p>
    <w:p>
      <w:pPr>
        <w:pStyle w:val="Normal"/>
        <w:numPr>
          <w:ilvl w:val="0"/>
          <w:numId w:val="3"/>
        </w:numPr>
        <w:tabs>
          <w:tab w:val="clear" w:pos="720"/>
        </w:tabs>
        <w:spacing w:lineRule="auto" w:line="480"/>
        <w:ind w:firstLine="720" w:start="0" w:end="0"/>
        <w:rPr/>
      </w:pPr>
      <w:r>
        <w:rPr/>
        <w:t>Under Section 13.2(c) of the Coal Agreement, and applicable law, ENA is entitled to an Order requiring BGS to specifically perform its purchase obligations under the Coal Agreement, as those obligations are declared by this Court.</w:t>
      </w:r>
    </w:p>
    <w:p>
      <w:pPr>
        <w:pStyle w:val="50d"/>
        <w:rPr/>
      </w:pPr>
      <w:r>
        <w:rPr/>
        <w:t>WHEREFORE, Plaintiff ENA respectfully demands judgment against defendant BGS, as follows:</w:t>
      </w:r>
    </w:p>
    <w:p>
      <w:pPr>
        <w:pStyle w:val="50d"/>
        <w:numPr>
          <w:ilvl w:val="0"/>
          <w:numId w:val="2"/>
        </w:numPr>
        <w:tabs>
          <w:tab w:val="clear" w:pos="720"/>
        </w:tabs>
        <w:ind w:firstLine="720" w:start="0" w:end="0"/>
        <w:rPr/>
      </w:pPr>
      <w:r>
        <w:rPr/>
        <w:t>As to the first cause of action:  judgment declaring that ENA's planned performance of meeting the Sizing Requirements at the Delivery Point complies fully with the terms of the Coal Agreement and that BGS' contrary contentions are erroneous;</w:t>
      </w:r>
    </w:p>
    <w:p>
      <w:pPr>
        <w:pStyle w:val="50d"/>
        <w:numPr>
          <w:ilvl w:val="0"/>
          <w:numId w:val="2"/>
        </w:numPr>
        <w:tabs>
          <w:tab w:val="clear" w:pos="720"/>
        </w:tabs>
        <w:ind w:firstLine="720" w:start="0" w:end="0"/>
        <w:rPr/>
      </w:pPr>
      <w:r>
        <w:rPr/>
        <w:t>As to the second cause of action:  judgment specifically enforcing BGS' purchase obligations under the Coal Agreement, as those obligations are declared by this Court;</w:t>
      </w:r>
    </w:p>
    <w:p>
      <w:pPr>
        <w:pStyle w:val="50d"/>
        <w:numPr>
          <w:ilvl w:val="0"/>
          <w:numId w:val="2"/>
        </w:numPr>
        <w:tabs>
          <w:tab w:val="clear" w:pos="720"/>
        </w:tabs>
        <w:ind w:firstLine="720" w:start="0" w:end="0"/>
        <w:rPr/>
      </w:pPr>
      <w:r>
        <w:rPr/>
        <w:t>Judgment awarding ENA the costs of this action, including all expenses, including accounting fees, attorneys' fees and expert witness' fees (as provided for in Section 13.3 of the Coal Agreement and otherwise).</w:t>
      </w:r>
      <w:r>
        <w:br w:type="page"/>
      </w:r>
    </w:p>
    <w:p>
      <w:pPr>
        <w:pStyle w:val="50d"/>
        <w:numPr>
          <w:ilvl w:val="0"/>
          <w:numId w:val="2"/>
        </w:numPr>
        <w:tabs>
          <w:tab w:val="clear" w:pos="720"/>
        </w:tabs>
        <w:ind w:firstLine="720" w:start="0" w:end="0"/>
        <w:rPr/>
      </w:pPr>
      <w:r>
        <w:rPr/>
        <w:t>Granting ENA such other and further relief as this Court deems just and appropriate.</w:t>
      </w:r>
    </w:p>
    <w:p>
      <w:pPr>
        <w:pStyle w:val="Normal"/>
        <w:rPr/>
      </w:pPr>
      <w:r>
        <w:rPr/>
      </w:r>
    </w:p>
    <w:p>
      <w:pPr>
        <w:pStyle w:val="Normal"/>
        <w:rPr/>
      </w:pPr>
      <w:r>
        <w:rPr/>
        <w:t>Dated:</w:t>
        <w:tab/>
        <w:tab/>
        <w:t>New York, New York</w:t>
      </w:r>
    </w:p>
    <w:p>
      <w:pPr>
        <w:pStyle w:val="Normal"/>
        <w:rPr/>
      </w:pPr>
      <w:r>
        <w:rPr/>
        <w:tab/>
        <w:tab/>
        <w:t>November ___, 2000</w:t>
      </w:r>
    </w:p>
    <w:p>
      <w:pPr>
        <w:pStyle w:val="Normal"/>
        <w:rPr/>
      </w:pPr>
      <w:r>
        <w:rPr/>
      </w:r>
    </w:p>
    <w:p>
      <w:pPr>
        <w:pStyle w:val="Normal"/>
        <w:rPr/>
      </w:pPr>
      <w:r>
        <w:rPr/>
      </w:r>
    </w:p>
    <w:p>
      <w:pPr>
        <w:pStyle w:val="Normal"/>
        <w:rPr/>
      </w:pPr>
      <w:r>
        <w:rPr/>
      </w:r>
    </w:p>
    <w:p>
      <w:pPr>
        <w:pStyle w:val="Normal"/>
        <w:rPr/>
      </w:pPr>
      <w:r>
        <w:rPr/>
        <w:tab/>
        <w:tab/>
        <w:tab/>
        <w:tab/>
        <w:tab/>
        <w:tab/>
        <w:t>BUCHANAN INGERSOLL</w:t>
      </w:r>
    </w:p>
    <w:p>
      <w:pPr>
        <w:pStyle w:val="Normal"/>
        <w:rPr/>
      </w:pPr>
      <w:r>
        <w:rPr/>
        <w:tab/>
        <w:tab/>
        <w:tab/>
        <w:tab/>
        <w:tab/>
        <w:tab/>
        <w:t>PROFESSIONAL CORPORATION</w:t>
      </w:r>
    </w:p>
    <w:p>
      <w:pPr>
        <w:pStyle w:val="Normal"/>
        <w:rPr/>
      </w:pPr>
      <w:r>
        <w:rPr/>
      </w:r>
    </w:p>
    <w:p>
      <w:pPr>
        <w:pStyle w:val="Normal"/>
        <w:rPr/>
      </w:pPr>
      <w:r>
        <w:rPr/>
        <w:tab/>
        <w:tab/>
        <w:tab/>
        <w:tab/>
        <w:tab/>
        <w:tab/>
        <w:t>By:____________________________</w:t>
      </w:r>
    </w:p>
    <w:p>
      <w:pPr>
        <w:pStyle w:val="Normal"/>
        <w:rPr/>
      </w:pPr>
      <w:r>
        <w:rPr/>
        <w:tab/>
        <w:tab/>
        <w:tab/>
        <w:tab/>
        <w:tab/>
        <w:tab/>
        <w:tab/>
        <w:t>Bruce A. Americus, Esq.</w:t>
      </w:r>
    </w:p>
    <w:p>
      <w:pPr>
        <w:pStyle w:val="Normal"/>
        <w:rPr/>
      </w:pPr>
      <w:r>
        <w:rPr/>
        <w:tab/>
        <w:tab/>
        <w:tab/>
        <w:tab/>
        <w:tab/>
        <w:tab/>
        <w:tab/>
        <w:t>Buchanan Ingersoll</w:t>
      </w:r>
    </w:p>
    <w:p>
      <w:pPr>
        <w:pStyle w:val="Normal"/>
        <w:rPr/>
      </w:pPr>
      <w:r>
        <w:rPr/>
        <w:tab/>
        <w:tab/>
        <w:tab/>
        <w:tab/>
        <w:tab/>
        <w:tab/>
        <w:tab/>
        <w:t xml:space="preserve">  Professional Corporation</w:t>
      </w:r>
    </w:p>
    <w:p>
      <w:pPr>
        <w:pStyle w:val="Normal"/>
        <w:rPr/>
      </w:pPr>
      <w:r>
        <w:rPr/>
        <w:tab/>
        <w:tab/>
        <w:tab/>
        <w:tab/>
        <w:tab/>
        <w:tab/>
        <w:tab/>
        <w:t>2000 One Oxford Centre</w:t>
      </w:r>
    </w:p>
    <w:p>
      <w:pPr>
        <w:pStyle w:val="Normal"/>
        <w:rPr/>
      </w:pPr>
      <w:r>
        <w:rPr/>
        <w:tab/>
        <w:tab/>
        <w:tab/>
        <w:tab/>
        <w:tab/>
        <w:tab/>
        <w:tab/>
        <w:t>Pittsburgh, PA  15219</w:t>
      </w:r>
    </w:p>
    <w:p>
      <w:pPr>
        <w:pStyle w:val="Normal"/>
        <w:rPr/>
      </w:pPr>
      <w:r>
        <w:rPr/>
        <w:tab/>
        <w:tab/>
        <w:tab/>
        <w:tab/>
        <w:tab/>
        <w:tab/>
        <w:tab/>
        <w:t>(412) 562-8885</w:t>
      </w:r>
    </w:p>
    <w:p>
      <w:pPr>
        <w:pStyle w:val="Normal"/>
        <w:rPr/>
      </w:pPr>
      <w:r>
        <w:rPr/>
      </w:r>
    </w:p>
    <w:p>
      <w:pPr>
        <w:pStyle w:val="Normal"/>
        <w:rPr/>
      </w:pPr>
      <w:r>
        <w:rPr/>
        <w:tab/>
        <w:tab/>
        <w:tab/>
        <w:tab/>
        <w:tab/>
        <w:tab/>
        <w:tab/>
        <w:t>Attorneys for Plaintiff</w:t>
      </w:r>
    </w:p>
    <w:p>
      <w:pPr>
        <w:pStyle w:val="Normal"/>
        <w:rPr/>
      </w:pPr>
      <w:r>
        <w:rPr/>
        <w:tab/>
        <w:tab/>
        <w:tab/>
        <w:tab/>
        <w:tab/>
        <w:tab/>
        <w:tab/>
        <w:t>ENRON NORTH AMERICA CORP.</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440" w:top="2160" w:footer="864"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1440" w:hanging="720"/>
      </w:pPr>
    </w:lvl>
    <w:lvl w:ilvl="3">
      <w:start w:val="1"/>
      <w:pStyle w:val="Heading4"/>
      <w:numFmt w:val="lowerLetter"/>
      <w:lvlText w:val="%4."/>
      <w:lvlJc w:val="start"/>
      <w:pPr>
        <w:tabs>
          <w:tab w:val="num" w:pos="720"/>
        </w:tabs>
        <w:ind w:start="216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3600" w:hanging="720"/>
      </w:pPr>
    </w:lvl>
    <w:lvl w:ilvl="6">
      <w:start w:val="1"/>
      <w:pStyle w:val="Heading7"/>
      <w:numFmt w:val="lowerRoman"/>
      <w:lvlText w:val="(%7)"/>
      <w:lvlJc w:val="start"/>
      <w:pPr>
        <w:tabs>
          <w:tab w:val="num" w:pos="720"/>
        </w:tabs>
        <w:ind w:start="4320" w:hanging="720"/>
      </w:pPr>
    </w:lvl>
    <w:lvl w:ilvl="7">
      <w:start w:val="1"/>
      <w:pStyle w:val="Heading8"/>
      <w:numFmt w:val="lowerLetter"/>
      <w:lvlText w:val="(%8)"/>
      <w:lvlJc w:val="start"/>
      <w:pPr>
        <w:tabs>
          <w:tab w:val="num" w:pos="720"/>
        </w:tabs>
        <w:ind w:start="5040" w:hanging="720"/>
      </w:pPr>
    </w:lvl>
    <w:lvl w:ilvl="8">
      <w:start w:val="1"/>
      <w:pStyle w:val="Heading9"/>
      <w:numFmt w:val="lowerRoman"/>
      <w:lvlText w:val="(%9)"/>
      <w:lvlJc w:val="start"/>
      <w:pPr>
        <w:tabs>
          <w:tab w:val="num" w:pos="720"/>
        </w:tabs>
        <w:ind w:start="5760" w:hanging="720"/>
      </w:pPr>
    </w:lvl>
  </w:abstractNum>
  <w:abstractNum w:abstractNumId="2">
    <w:lvl w:ilvl="0">
      <w:start w:val="1"/>
      <w:numFmt w:val="lowerRoman"/>
      <w:lvlText w:val="%1."/>
      <w:lvlJc w:val="start"/>
      <w:pPr>
        <w:tabs>
          <w:tab w:val="num" w:pos="720"/>
        </w:tabs>
        <w:ind w:start="720" w:hanging="72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jc w:val="center"/>
      <w:outlineLvl w:val="0"/>
    </w:pPr>
    <w:rPr>
      <w:caps/>
      <w:kern w:val="2"/>
    </w:rPr>
  </w:style>
  <w:style w:type="paragraph" w:styleId="Heading2">
    <w:name w:val="heading 2"/>
    <w:basedOn w:val="Normal"/>
    <w:next w:val="Normal"/>
    <w:qFormat/>
    <w:pPr>
      <w:numPr>
        <w:ilvl w:val="1"/>
        <w:numId w:val="1"/>
      </w:numPr>
      <w:spacing w:before="0" w:after="240"/>
      <w:outlineLvl w:val="1"/>
    </w:pPr>
    <w:rPr/>
  </w:style>
  <w:style w:type="paragraph" w:styleId="Heading3">
    <w:name w:val="heading 3"/>
    <w:basedOn w:val="Normal"/>
    <w:next w:val="Normal"/>
    <w:qFormat/>
    <w:pPr>
      <w:keepNext w:val="true"/>
      <w:numPr>
        <w:ilvl w:val="2"/>
        <w:numId w:val="1"/>
      </w:numPr>
      <w:spacing w:before="0" w:after="240"/>
      <w:outlineLvl w:val="2"/>
    </w:pPr>
    <w:rPr>
      <w:kern w:val="2"/>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keepNext w:val="true"/>
      <w:numPr>
        <w:ilvl w:val="4"/>
        <w:numId w:val="1"/>
      </w:numPr>
      <w:spacing w:before="0" w:after="240"/>
      <w:outlineLvl w:val="4"/>
    </w:pPr>
    <w:rPr>
      <w:kern w:val="2"/>
    </w:rPr>
  </w:style>
  <w:style w:type="paragraph" w:styleId="Heading6">
    <w:name w:val="heading 6"/>
    <w:basedOn w:val="Normal"/>
    <w:next w:val="Normal"/>
    <w:qFormat/>
    <w:pPr>
      <w:keepNext w:val="true"/>
      <w:numPr>
        <w:ilvl w:val="5"/>
        <w:numId w:val="1"/>
      </w:numPr>
      <w:spacing w:before="0" w:after="240"/>
      <w:outlineLvl w:val="5"/>
    </w:pPr>
    <w:rPr/>
  </w:style>
  <w:style w:type="paragraph" w:styleId="Heading7">
    <w:name w:val="heading 7"/>
    <w:basedOn w:val="Normal"/>
    <w:next w:val="Normal"/>
    <w:qFormat/>
    <w:pPr>
      <w:keepNext w:val="true"/>
      <w:numPr>
        <w:ilvl w:val="6"/>
        <w:numId w:val="1"/>
      </w:numPr>
      <w:spacing w:before="0" w:after="240"/>
      <w:outlineLvl w:val="6"/>
    </w:pPr>
    <w:rPr>
      <w:kern w:val="2"/>
    </w:rPr>
  </w:style>
  <w:style w:type="paragraph" w:styleId="Heading8">
    <w:name w:val="heading 8"/>
    <w:basedOn w:val="Normal"/>
    <w:next w:val="Normal"/>
    <w:qFormat/>
    <w:pPr>
      <w:keepNext w:val="true"/>
      <w:numPr>
        <w:ilvl w:val="7"/>
        <w:numId w:val="1"/>
      </w:numPr>
      <w:spacing w:before="0" w:after="240"/>
      <w:outlineLvl w:val="7"/>
    </w:pPr>
    <w:rPr/>
  </w:style>
  <w:style w:type="paragraph" w:styleId="Heading9">
    <w:name w:val="heading 9"/>
    <w:basedOn w:val="Normal"/>
    <w:next w:val="Normal"/>
    <w:qFormat/>
    <w:pPr>
      <w:keepNext w:val="true"/>
      <w:numPr>
        <w:ilvl w:val="8"/>
        <w:numId w:val="1"/>
      </w:numPr>
      <w:spacing w:before="0" w:after="240"/>
      <w:outlineLvl w:val="8"/>
    </w:pPr>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50d">
    <w:name w:val=".5/0d"/>
    <w:basedOn w:val="Normal"/>
    <w:qFormat/>
    <w:pPr>
      <w:spacing w:lineRule="auto" w:line="480"/>
      <w:ind w:firstLine="720" w:start="0" w:end="0"/>
    </w:pPr>
    <w:rPr/>
  </w:style>
  <w:style w:type="paragraph" w:styleId="50s">
    <w:name w:val=".5/0s"/>
    <w:basedOn w:val="Normal"/>
    <w:qFormat/>
    <w:pPr>
      <w:spacing w:before="0" w:after="240"/>
      <w:ind w:firstLine="720" w:start="0" w:end="0"/>
    </w:pPr>
    <w:rPr/>
  </w:style>
  <w:style w:type="paragraph" w:styleId="05s">
    <w:name w:val="0/.5s"/>
    <w:basedOn w:val="Normal"/>
    <w:qFormat/>
    <w:pPr>
      <w:spacing w:before="0" w:after="240"/>
      <w:ind w:hanging="720" w:start="720" w:end="0"/>
    </w:pPr>
    <w:rPr/>
  </w:style>
  <w:style w:type="paragraph" w:styleId="00d">
    <w:name w:val="0/0d"/>
    <w:basedOn w:val="Normal"/>
    <w:qFormat/>
    <w:pPr>
      <w:spacing w:lineRule="auto" w:line="480"/>
    </w:pPr>
    <w:rPr/>
  </w:style>
  <w:style w:type="paragraph" w:styleId="00s">
    <w:name w:val="0/0s"/>
    <w:basedOn w:val="Normal"/>
    <w:qFormat/>
    <w:pPr>
      <w:spacing w:before="0" w:after="240"/>
    </w:pPr>
    <w:rPr/>
  </w:style>
  <w:style w:type="paragraph" w:styleId="10d">
    <w:name w:val="1/0d"/>
    <w:basedOn w:val="Normal"/>
    <w:qFormat/>
    <w:pPr>
      <w:spacing w:lineRule="auto" w:line="480"/>
      <w:ind w:firstLine="1440" w:start="0" w:end="0"/>
    </w:pPr>
    <w:rPr/>
  </w:style>
  <w:style w:type="paragraph" w:styleId="10s">
    <w:name w:val="1/0s"/>
    <w:basedOn w:val="Normal"/>
    <w:qFormat/>
    <w:pPr>
      <w:spacing w:before="0" w:after="240"/>
      <w:ind w:firstLine="1440" w:start="0" w:end="0"/>
    </w:pPr>
    <w:rPr/>
  </w:style>
  <w:style w:type="paragraph" w:styleId="33sigline">
    <w:name w:val="3/3sigline"/>
    <w:basedOn w:val="Normal"/>
    <w:qFormat/>
    <w:pPr>
      <w:keepNext w:val="true"/>
      <w:tabs>
        <w:tab w:val="clear" w:pos="720"/>
        <w:tab w:val="right" w:pos="8640" w:leader="none"/>
      </w:tabs>
      <w:ind w:hanging="0" w:start="4320" w:end="0"/>
    </w:pPr>
    <w:rPr>
      <w:u w:val="single"/>
    </w:rPr>
  </w:style>
  <w:style w:type="paragraph" w:styleId="33signature">
    <w:name w:val="3/3signature"/>
    <w:basedOn w:val="Normal"/>
    <w:qFormat/>
    <w:pPr>
      <w:ind w:hanging="0" w:start="4320" w:end="0"/>
    </w:pPr>
    <w:rPr/>
  </w:style>
  <w:style w:type="paragraph" w:styleId="CENTER">
    <w:name w:val="CENTER"/>
    <w:basedOn w:val="Normal"/>
    <w:next w:val="50s"/>
    <w:qFormat/>
    <w:pPr>
      <w:keepNext w:val="true"/>
      <w:spacing w:before="0" w:after="240"/>
      <w:jc w:val="center"/>
    </w:pPr>
    <w:rPr>
      <w:b/>
      <w:caps/>
      <w:u w:val="single"/>
    </w:rPr>
  </w:style>
  <w:style w:type="paragraph" w:styleId="draft">
    <w:name w:val="draft"/>
    <w:basedOn w:val="Normal"/>
    <w:qFormat/>
    <w:pPr>
      <w:pBdr>
        <w:top w:val="single" w:sz="6" w:space="1" w:color="FF0000" w:shadow="1"/>
        <w:left w:val="single" w:sz="6" w:space="1" w:color="FF0000" w:shadow="1"/>
        <w:bottom w:val="single" w:sz="6" w:space="1" w:color="FF0000" w:shadow="1"/>
        <w:right w:val="single" w:sz="6" w:space="1" w:color="FF0000" w:shadow="1"/>
      </w:pBd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tary">
    <w:name w:val="notary"/>
    <w:basedOn w:val="Normal"/>
    <w:qFormat/>
    <w:pPr>
      <w:tabs>
        <w:tab w:val="clear" w:pos="720"/>
        <w:tab w:val="center" w:pos="1800" w:leader="none"/>
        <w:tab w:val="center" w:pos="6480" w:leader="none"/>
      </w:tabs>
    </w:pPr>
    <w:rPr/>
  </w:style>
  <w:style w:type="paragraph" w:styleId="TOC1">
    <w:name w:val="toc 1"/>
    <w:basedOn w:val="Normal"/>
    <w:next w:val="Normal"/>
    <w:pPr>
      <w:tabs>
        <w:tab w:val="left" w:pos="720" w:leader="none"/>
        <w:tab w:val="right" w:pos="9360" w:leader="dot"/>
      </w:tabs>
      <w:spacing w:before="360" w:after="0"/>
      <w:ind w:hanging="720" w:start="720" w:end="0"/>
    </w:pPr>
    <w:rPr>
      <w:caps/>
    </w:rPr>
  </w:style>
  <w:style w:type="paragraph" w:styleId="TOC2">
    <w:name w:val="toc 2"/>
    <w:basedOn w:val="Normal"/>
    <w:next w:val="Normal"/>
    <w:pPr>
      <w:tabs>
        <w:tab w:val="clear" w:pos="720"/>
        <w:tab w:val="left" w:pos="1440" w:leader="none"/>
        <w:tab w:val="right" w:pos="9360" w:leader="dot"/>
      </w:tabs>
      <w:ind w:hanging="720" w:start="1440" w:end="0"/>
    </w:pPr>
    <w:rPr/>
  </w:style>
  <w:style w:type="paragraph" w:styleId="TOC3">
    <w:name w:val="toc 3"/>
    <w:basedOn w:val="Normal"/>
    <w:next w:val="Normal"/>
    <w:pPr>
      <w:tabs>
        <w:tab w:val="clear" w:pos="720"/>
        <w:tab w:val="left" w:pos="2160" w:leader="none"/>
        <w:tab w:val="right" w:pos="9360" w:leader="dot"/>
      </w:tabs>
      <w:ind w:hanging="720" w:start="2160" w:end="0"/>
    </w:pPr>
    <w:rPr/>
  </w:style>
  <w:style w:type="paragraph" w:styleId="TOC4">
    <w:name w:val="toc 4"/>
    <w:basedOn w:val="Normal"/>
    <w:next w:val="Normal"/>
    <w:pPr>
      <w:tabs>
        <w:tab w:val="clear" w:pos="720"/>
        <w:tab w:val="left" w:pos="2880" w:leader="none"/>
        <w:tab w:val="right" w:pos="9360" w:leader="dot"/>
      </w:tabs>
      <w:ind w:hanging="720" w:start="2880" w:end="0"/>
    </w:pPr>
    <w:rPr/>
  </w:style>
  <w:style w:type="paragraph" w:styleId="TOC5">
    <w:name w:val="toc 5"/>
    <w:basedOn w:val="Normal"/>
    <w:next w:val="Normal"/>
    <w:pPr>
      <w:tabs>
        <w:tab w:val="clear" w:pos="720"/>
        <w:tab w:val="left" w:pos="3600" w:leader="none"/>
        <w:tab w:val="right" w:pos="9360" w:leader="dot"/>
      </w:tabs>
      <w:ind w:hanging="720" w:start="3600" w:end="0"/>
    </w:pPr>
    <w:rPr/>
  </w:style>
  <w:style w:type="paragraph" w:styleId="TOC6">
    <w:name w:val="toc 6"/>
    <w:basedOn w:val="Normal"/>
    <w:next w:val="Normal"/>
    <w:pPr>
      <w:tabs>
        <w:tab w:val="clear" w:pos="720"/>
        <w:tab w:val="left" w:pos="4320" w:leader="none"/>
        <w:tab w:val="right" w:pos="9360" w:leader="dot"/>
      </w:tabs>
      <w:ind w:hanging="720" w:start="4320" w:end="0"/>
    </w:pPr>
    <w:rPr/>
  </w:style>
  <w:style w:type="paragraph" w:styleId="TOC7">
    <w:name w:val="toc 7"/>
    <w:basedOn w:val="Normal"/>
    <w:next w:val="Normal"/>
    <w:pPr>
      <w:tabs>
        <w:tab w:val="clear" w:pos="720"/>
        <w:tab w:val="left" w:pos="5040" w:leader="none"/>
        <w:tab w:val="right" w:pos="9360" w:leader="dot"/>
      </w:tabs>
      <w:ind w:hanging="720" w:start="5040" w:end="0"/>
    </w:pPr>
    <w:rPr/>
  </w:style>
  <w:style w:type="paragraph" w:styleId="TOC8">
    <w:name w:val="toc 8"/>
    <w:basedOn w:val="Normal"/>
    <w:next w:val="Normal"/>
    <w:pPr>
      <w:tabs>
        <w:tab w:val="clear" w:pos="720"/>
        <w:tab w:val="left" w:pos="5760" w:leader="none"/>
        <w:tab w:val="right" w:pos="9360" w:leader="dot"/>
      </w:tabs>
      <w:ind w:hanging="720" w:start="5760" w:end="0"/>
    </w:pPr>
    <w:rPr/>
  </w:style>
  <w:style w:type="paragraph" w:styleId="TOC9">
    <w:name w:val="toc 9"/>
    <w:basedOn w:val="Normal"/>
    <w:next w:val="Normal"/>
    <w:pPr>
      <w:tabs>
        <w:tab w:val="clear" w:pos="720"/>
        <w:tab w:val="left" w:pos="6480" w:leader="none"/>
        <w:tab w:val="right" w:pos="9360" w:leader="dot"/>
      </w:tabs>
      <w:ind w:hanging="720" w:start="648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EndnoteText">
    <w:name w:val="endnote text"/>
    <w:basedOn w:val="Normal"/>
    <w:pPr/>
    <w:rPr>
      <w:rFonts w:ascii="Courier New" w:hAnsi="Courier New" w:cs="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2000-11-20T12:56:00Z</dcterms:created>
  <dc:creator>AMERICU1</dc:creator>
  <dc:description/>
  <dc:language>en-CA</dc:language>
  <cp:lastModifiedBy>Systems Department</cp:lastModifiedBy>
  <cp:lastPrinted>2000-11-21T13:48:00Z</cp:lastPrinted>
  <dcterms:modified xsi:type="dcterms:W3CDTF">2000-11-21T16:18:00Z</dcterms:modified>
  <cp:revision>26</cp:revision>
  <dc:subject>LITDOCS</dc:subject>
  <dc:title>Complaint in Enron v. Bluegrass Synfuel</dc:title>
</cp:coreProperties>
</file>