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left" w:pos="1440" w:leader="none"/>
          <w:tab w:val="center" w:pos="4320" w:leader="none"/>
          <w:tab w:val="right" w:pos="8640" w:leader="none"/>
        </w:tabs>
        <w:spacing w:lineRule="exact" w:line="228"/>
        <w:rPr/>
      </w:pPr>
      <w:r>
        <w:rPr/>
        <w:t>Carl A. Eklund (Admitted Pro Hac Vice)</w:t>
        <w:tab/>
        <w:tab/>
      </w:r>
      <w:r>
        <w:rPr>
          <w:b/>
          <w:sz w:val="48"/>
        </w:rPr>
        <w:t>DRAFT -8/14/01</w:t>
      </w:r>
    </w:p>
    <w:p>
      <w:pPr>
        <w:pStyle w:val="Header"/>
        <w:spacing w:lineRule="exact" w:line="228"/>
        <w:rPr/>
      </w:pPr>
      <w:r>
        <w:rPr/>
        <w:t>LeBOEUF, LAMB, GREENE &amp; MacRAE, L.L.P.</w:t>
      </w:r>
    </w:p>
    <w:p>
      <w:pPr>
        <w:pStyle w:val="Header"/>
        <w:spacing w:lineRule="exact" w:line="228"/>
        <w:rPr/>
      </w:pPr>
      <w:r>
        <w:rPr/>
        <w:t>633 17th Street, Suite 2000</w:t>
      </w:r>
    </w:p>
    <w:p>
      <w:pPr>
        <w:pStyle w:val="Header"/>
        <w:spacing w:lineRule="exact" w:line="228"/>
        <w:rPr/>
      </w:pPr>
      <w:r>
        <w:rPr/>
        <w:t>Denver, Colorado  80202</w:t>
      </w:r>
    </w:p>
    <w:p>
      <w:pPr>
        <w:pStyle w:val="Header"/>
        <w:tabs>
          <w:tab w:val="left" w:pos="1440" w:leader="none"/>
          <w:tab w:val="center" w:pos="4320" w:leader="none"/>
          <w:tab w:val="right" w:pos="8640" w:leader="none"/>
        </w:tabs>
        <w:spacing w:lineRule="exact" w:line="228"/>
        <w:rPr/>
      </w:pPr>
      <w:r>
        <w:rPr/>
        <w:t>Telephone:</w:t>
        <w:tab/>
        <w:t>(303) 291-2600</w:t>
      </w:r>
    </w:p>
    <w:p>
      <w:pPr>
        <w:pStyle w:val="Header"/>
        <w:tabs>
          <w:tab w:val="left" w:pos="1440" w:leader="none"/>
          <w:tab w:val="center" w:pos="4320" w:leader="none"/>
          <w:tab w:val="right" w:pos="8640" w:leader="none"/>
        </w:tabs>
        <w:spacing w:lineRule="exact" w:line="228"/>
        <w:rPr/>
      </w:pPr>
      <w:r>
        <w:rPr/>
        <w:t>Facsimile:</w:t>
        <w:tab/>
        <w:t>(303) 297-0422</w:t>
      </w:r>
    </w:p>
    <w:p>
      <w:pPr>
        <w:pStyle w:val="Header"/>
        <w:spacing w:lineRule="exact" w:line="228"/>
        <w:rPr/>
      </w:pPr>
      <w:r>
        <w:rPr/>
      </w:r>
    </w:p>
    <w:p>
      <w:pPr>
        <w:pStyle w:val="Header"/>
        <w:spacing w:lineRule="exact" w:line="228"/>
        <w:rPr/>
      </w:pPr>
      <w:r>
        <w:rPr/>
        <w:t>Charles Ferguson (State Bar No. 63343)</w:t>
      </w:r>
    </w:p>
    <w:p>
      <w:pPr>
        <w:pStyle w:val="Header"/>
        <w:spacing w:lineRule="exact" w:line="228"/>
        <w:rPr/>
      </w:pPr>
      <w:r>
        <w:rPr/>
        <w:t>Sanford Kingsley (State Bar No. 99849)</w:t>
      </w:r>
    </w:p>
    <w:p>
      <w:pPr>
        <w:pStyle w:val="Header"/>
        <w:spacing w:lineRule="exact" w:line="228"/>
        <w:rPr/>
      </w:pPr>
      <w:r>
        <w:rPr/>
        <w:t>LeBOEUF, LAMB, GREENE &amp; MacRAE, L.L.P.</w:t>
      </w:r>
    </w:p>
    <w:p>
      <w:pPr>
        <w:pStyle w:val="Header"/>
        <w:spacing w:lineRule="exact" w:line="228"/>
        <w:rPr/>
      </w:pPr>
      <w:r>
        <w:rPr/>
        <w:t>One Embarcadero Center, Suite 400</w:t>
      </w:r>
    </w:p>
    <w:p>
      <w:pPr>
        <w:pStyle w:val="Header"/>
        <w:spacing w:lineRule="exact" w:line="228"/>
        <w:rPr/>
      </w:pPr>
      <w:r>
        <w:rPr/>
        <w:t>San Francisco, California 94111</w:t>
      </w:r>
    </w:p>
    <w:p>
      <w:pPr>
        <w:pStyle w:val="Header"/>
        <w:tabs>
          <w:tab w:val="left" w:pos="1440" w:leader="none"/>
          <w:tab w:val="center" w:pos="4320" w:leader="none"/>
          <w:tab w:val="right" w:pos="8640" w:leader="none"/>
        </w:tabs>
        <w:spacing w:lineRule="exact" w:line="228"/>
        <w:rPr/>
      </w:pPr>
      <w:r>
        <w:rPr/>
        <w:t>Telephone:</w:t>
        <w:tab/>
        <w:t>(415) 951-1100</w:t>
      </w:r>
    </w:p>
    <w:p>
      <w:pPr>
        <w:pStyle w:val="Header"/>
        <w:tabs>
          <w:tab w:val="left" w:pos="1440" w:leader="none"/>
          <w:tab w:val="center" w:pos="4320" w:leader="none"/>
          <w:tab w:val="right" w:pos="8640" w:leader="none"/>
        </w:tabs>
        <w:spacing w:lineRule="exact" w:line="228"/>
        <w:rPr/>
      </w:pPr>
      <w:r>
        <w:rPr/>
        <w:t>Facsimile:</w:t>
        <w:tab/>
        <w:t>(415) 951-1180</w:t>
      </w:r>
    </w:p>
    <w:p>
      <w:pPr>
        <w:pStyle w:val="Header"/>
        <w:spacing w:lineRule="exact" w:line="228"/>
        <w:rPr/>
      </w:pPr>
      <w:r>
        <w:rPr/>
      </w:r>
    </w:p>
    <w:p>
      <w:pPr>
        <w:pStyle w:val="Header"/>
        <w:spacing w:lineRule="exact" w:line="228"/>
        <w:rPr/>
      </w:pPr>
      <w:r>
        <w:rPr/>
        <w:t>Attorneys for Plaintiffs</w:t>
      </w:r>
    </w:p>
    <w:p>
      <w:pPr>
        <w:pStyle w:val="Header"/>
        <w:spacing w:lineRule="exact" w:line="228"/>
        <w:rPr/>
      </w:pPr>
      <w:r>
        <w:rPr/>
        <w:t>ENRON ENERGY SERVICES, INC.,</w:t>
      </w:r>
    </w:p>
    <w:p>
      <w:pPr>
        <w:pStyle w:val="Header"/>
        <w:spacing w:lineRule="exact" w:line="228"/>
        <w:rPr/>
      </w:pPr>
      <w:r>
        <w:rPr/>
        <w:t>ENRON ENERGY MARKETING CORP.</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jc w:val="center"/>
        <w:rPr/>
      </w:pPr>
      <w:r>
        <w:rPr/>
        <w:t>UNITED STATES BANKRUPTCY COURT</w:t>
      </w:r>
    </w:p>
    <w:p>
      <w:pPr>
        <w:pStyle w:val="Normal"/>
        <w:spacing w:lineRule="exact" w:line="228"/>
        <w:jc w:val="center"/>
        <w:rPr/>
      </w:pPr>
      <w:r>
        <w:rPr/>
      </w:r>
    </w:p>
    <w:p>
      <w:pPr>
        <w:pStyle w:val="Normal"/>
        <w:spacing w:lineRule="exact" w:line="228"/>
        <w:jc w:val="center"/>
        <w:rPr/>
      </w:pPr>
      <w:r>
        <w:rPr/>
        <w:t>NORTHERN DISTRICT OF CALIFORNIA</w:t>
      </w:r>
    </w:p>
    <w:p>
      <w:pPr>
        <w:pStyle w:val="Normal"/>
        <w:spacing w:lineRule="exact" w:line="228"/>
        <w:jc w:val="center"/>
        <w:rPr/>
      </w:pPr>
      <w:r>
        <w:rPr/>
      </w:r>
    </w:p>
    <w:p>
      <w:pPr>
        <w:pStyle w:val="Normal"/>
        <w:spacing w:lineRule="exact" w:line="228"/>
        <w:jc w:val="center"/>
        <w:rPr/>
      </w:pPr>
      <w:r>
        <w:rPr/>
        <w:t>SAN FRANCISCO DIVISION</w:t>
      </w:r>
    </w:p>
    <w:p>
      <w:pPr>
        <w:pStyle w:val="Normal"/>
        <w:spacing w:lineRule="exact" w:line="228"/>
        <w:rPr/>
      </w:pPr>
      <w:r>
        <w:rPr/>
      </w:r>
    </w:p>
    <w:tbl>
      <w:tblPr>
        <w:tblW w:w="9399" w:type="dxa"/>
        <w:jc w:val="center"/>
        <w:tblInd w:w="0" w:type="dxa"/>
        <w:tblLayout w:type="fixed"/>
        <w:tblCellMar>
          <w:top w:w="0" w:type="dxa"/>
          <w:start w:w="0" w:type="dxa"/>
          <w:bottom w:w="0" w:type="dxa"/>
          <w:end w:w="0" w:type="dxa"/>
        </w:tblCellMar>
      </w:tblPr>
      <w:tblGrid>
        <w:gridCol w:w="4700"/>
        <w:gridCol w:w="360"/>
        <w:gridCol w:w="4339"/>
      </w:tblGrid>
      <w:tr>
        <w:trPr/>
        <w:tc>
          <w:tcPr>
            <w:tcW w:w="4700" w:type="dxa"/>
            <w:tcBorders>
              <w:top w:val="single" w:sz="6" w:space="0" w:color="FFFFFF"/>
              <w:start w:val="single" w:sz="6" w:space="0" w:color="FFFFFF"/>
              <w:bottom w:val="single" w:sz="4" w:space="0" w:color="000000"/>
              <w:end w:val="single" w:sz="6" w:space="0" w:color="FFFFFF"/>
            </w:tcBorders>
          </w:tcPr>
          <w:p>
            <w:pPr>
              <w:pStyle w:val="Normal"/>
              <w:spacing w:lineRule="exact" w:line="228"/>
              <w:rPr/>
            </w:pPr>
            <w:r>
              <w:rPr/>
              <w:t>In re</w:t>
            </w:r>
          </w:p>
          <w:p>
            <w:pPr>
              <w:pStyle w:val="Normal"/>
              <w:spacing w:lineRule="exact" w:line="228"/>
              <w:rPr/>
            </w:pPr>
            <w:r>
              <w:rPr/>
            </w:r>
          </w:p>
          <w:p>
            <w:pPr>
              <w:pStyle w:val="Normal"/>
              <w:spacing w:lineRule="exact" w:line="228"/>
              <w:rPr/>
            </w:pPr>
            <w:r>
              <w:rPr/>
              <w:t>PACIFIC GAS AND ELECTRIC COMPANY, a California corporation,</w:t>
            </w:r>
          </w:p>
          <w:p>
            <w:pPr>
              <w:pStyle w:val="Normal"/>
              <w:spacing w:lineRule="exact" w:line="228"/>
              <w:rPr/>
            </w:pPr>
            <w:r>
              <w:rPr/>
            </w:r>
          </w:p>
          <w:p>
            <w:pPr>
              <w:pStyle w:val="Normal"/>
              <w:spacing w:lineRule="exact" w:line="228"/>
              <w:ind w:start="2160" w:end="0"/>
              <w:rPr/>
            </w:pPr>
            <w:r>
              <w:rPr/>
              <w:t>Debtor.</w:t>
            </w:r>
          </w:p>
          <w:p>
            <w:pPr>
              <w:pStyle w:val="Normal"/>
              <w:spacing w:lineRule="exact" w:line="228"/>
              <w:rPr/>
            </w:pPr>
            <w:r>
              <w:rPr/>
            </w:r>
          </w:p>
          <w:p>
            <w:pPr>
              <w:pStyle w:val="Normal"/>
              <w:tabs>
                <w:tab w:val="clear" w:pos="720"/>
                <w:tab w:val="right" w:pos="4647" w:leader="none"/>
              </w:tabs>
              <w:spacing w:lineRule="exact" w:line="228"/>
              <w:rPr>
                <w:u w:val="single"/>
              </w:rPr>
            </w:pPr>
            <w:r>
              <w:rPr>
                <w:u w:val="single"/>
              </w:rPr>
              <w:t>Federal I.D. No. 94-0742640</w:t>
              <w:tab/>
            </w:r>
          </w:p>
          <w:p>
            <w:pPr>
              <w:pStyle w:val="Normal"/>
              <w:spacing w:lineRule="exact" w:line="228"/>
              <w:rPr/>
            </w:pPr>
            <w:r>
              <w:rPr/>
            </w:r>
          </w:p>
          <w:p>
            <w:pPr>
              <w:pStyle w:val="Normal"/>
              <w:spacing w:lineRule="exact" w:line="228"/>
              <w:rPr/>
            </w:pPr>
            <w:r>
              <w:rPr/>
              <w:t>ENRON ENERGY SERVICES, INC., a Delaware corporation, ENRON ENERGY MARKETING CORP., a California corporation,</w:t>
            </w:r>
          </w:p>
          <w:p>
            <w:pPr>
              <w:pStyle w:val="Normal"/>
              <w:spacing w:lineRule="exact" w:line="228"/>
              <w:rPr/>
            </w:pPr>
            <w:r>
              <w:rPr/>
            </w:r>
          </w:p>
          <w:p>
            <w:pPr>
              <w:pStyle w:val="Normal"/>
              <w:spacing w:lineRule="exact" w:line="228"/>
              <w:ind w:firstLine="720" w:start="1440" w:end="0"/>
              <w:rPr/>
            </w:pPr>
            <w:r>
              <w:rPr/>
              <w:t>Plaintiffs,</w:t>
            </w:r>
          </w:p>
          <w:p>
            <w:pPr>
              <w:pStyle w:val="Normal"/>
              <w:spacing w:lineRule="exact" w:line="228"/>
              <w:rPr/>
            </w:pPr>
            <w:r>
              <w:rPr/>
            </w:r>
          </w:p>
          <w:p>
            <w:pPr>
              <w:pStyle w:val="Normal"/>
              <w:spacing w:lineRule="exact" w:line="228"/>
              <w:ind w:firstLine="1440" w:end="0"/>
              <w:rPr/>
            </w:pPr>
            <w:r>
              <w:rPr/>
              <w:t>v.</w:t>
            </w:r>
          </w:p>
          <w:p>
            <w:pPr>
              <w:pStyle w:val="Normal"/>
              <w:spacing w:lineRule="exact" w:line="228"/>
              <w:rPr/>
            </w:pPr>
            <w:r>
              <w:rPr/>
            </w:r>
          </w:p>
          <w:p>
            <w:pPr>
              <w:pStyle w:val="Normal"/>
              <w:spacing w:lineRule="exact" w:line="228"/>
              <w:rPr/>
            </w:pPr>
            <w:r>
              <w:rPr/>
              <w:t>PACIFIC GAS AND ELECTRIC COMPANY, a California corporation,</w:t>
            </w:r>
          </w:p>
          <w:p>
            <w:pPr>
              <w:pStyle w:val="Normal"/>
              <w:spacing w:lineRule="exact" w:line="228"/>
              <w:rPr/>
            </w:pPr>
            <w:r>
              <w:rPr/>
            </w:r>
          </w:p>
          <w:p>
            <w:pPr>
              <w:pStyle w:val="Normal"/>
              <w:spacing w:lineRule="exact" w:line="228"/>
              <w:ind w:firstLine="720" w:start="1440" w:end="0"/>
              <w:rPr/>
            </w:pPr>
            <w:r>
              <w:rPr/>
              <w:t>Defendant.</w:t>
            </w:r>
          </w:p>
          <w:p>
            <w:pPr>
              <w:pStyle w:val="Normal"/>
              <w:tabs>
                <w:tab w:val="clear" w:pos="720"/>
                <w:tab w:val="right" w:pos="4647" w:leader="none"/>
              </w:tabs>
              <w:spacing w:lineRule="exact" w:line="228"/>
              <w:rPr/>
            </w:pPr>
            <w:r>
              <w:rPr/>
              <w:tab/>
            </w:r>
          </w:p>
        </w:tc>
        <w:tc>
          <w:tcPr>
            <w:tcW w:w="360" w:type="dxa"/>
            <w:tcBorders>
              <w:top w:val="single" w:sz="6" w:space="0" w:color="FFFFFF"/>
              <w:start w:val="single" w:sz="6" w:space="0" w:color="FFFFFF"/>
              <w:bottom w:val="single" w:sz="6" w:space="0" w:color="FFFFFF"/>
              <w:end w:val="single" w:sz="6" w:space="0" w:color="FFFFFF"/>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tc>
        <w:tc>
          <w:tcPr>
            <w:tcW w:w="4339" w:type="dxa"/>
            <w:tcBorders>
              <w:top w:val="single" w:sz="6" w:space="0" w:color="FFFFFF"/>
              <w:start w:val="single" w:sz="6" w:space="0" w:color="FFFFFF"/>
              <w:bottom w:val="single" w:sz="6" w:space="0" w:color="FFFFFF"/>
              <w:end w:val="single" w:sz="6" w:space="0" w:color="FFFFFF"/>
            </w:tcBorders>
          </w:tcPr>
          <w:p>
            <w:pPr>
              <w:pStyle w:val="Normal"/>
              <w:spacing w:lineRule="exact" w:line="228"/>
              <w:rPr/>
            </w:pPr>
            <w:r>
              <w:rPr/>
              <w:t>Case No.  01-30923 M</w:t>
            </w:r>
          </w:p>
          <w:p>
            <w:pPr>
              <w:pStyle w:val="Normal"/>
              <w:spacing w:lineRule="exact" w:line="228"/>
              <w:rPr/>
            </w:pPr>
            <w:r>
              <w:rPr/>
            </w:r>
          </w:p>
          <w:p>
            <w:pPr>
              <w:pStyle w:val="Normal"/>
              <w:spacing w:lineRule="exact" w:line="228"/>
              <w:rPr/>
            </w:pPr>
            <w:r>
              <w:rPr/>
              <w:t>Chapter 11 Case</w:t>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t>Adv. Proceeding No. ___________</w:t>
            </w:r>
          </w:p>
          <w:p>
            <w:pPr>
              <w:pStyle w:val="Normal"/>
              <w:spacing w:lineRule="exact" w:line="228"/>
              <w:rPr/>
            </w:pPr>
            <w:r>
              <w:rPr/>
            </w:r>
          </w:p>
          <w:p>
            <w:pPr>
              <w:pStyle w:val="Normal"/>
              <w:spacing w:lineRule="exact" w:line="228"/>
              <w:rPr>
                <w:b/>
              </w:rPr>
            </w:pPr>
            <w:r>
              <w:rPr>
                <w:b/>
              </w:rPr>
              <w:t>COMPLAINT FOR DECLARATORY RELIEF</w:t>
            </w:r>
          </w:p>
          <w:p>
            <w:pPr>
              <w:pStyle w:val="Normal"/>
              <w:spacing w:lineRule="exact" w:line="228"/>
              <w:rPr/>
            </w:pPr>
            <w:r>
              <w:rPr/>
            </w:r>
          </w:p>
          <w:p>
            <w:pPr>
              <w:pStyle w:val="Normal"/>
              <w:spacing w:lineRule="exact" w:line="228"/>
              <w:rPr/>
            </w:pPr>
            <w:r>
              <w:rPr/>
            </w:r>
          </w:p>
        </w:tc>
      </w:tr>
    </w:tbl>
    <w:p>
      <w:pPr>
        <w:pStyle w:val="Normal"/>
        <w:spacing w:lineRule="exact" w:line="236"/>
        <w:rPr/>
      </w:pPr>
      <w:r>
        <w:fldChar w:fldCharType="begin"/>
      </w:r>
      <w:r>
        <w:rPr/>
        <w:instrText xml:space="preserve">ADVANCE \u2</w:instrText>
      </w:r>
      <w:r>
        <w:rPr/>
      </w:r>
      <w:r>
        <w:rPr/>
        <w:fldChar w:fldCharType="separate"/>
      </w:r>
      <w:r>
        <w:rPr/>
      </w:r>
      <w:r/>
      <w:r>
        <w:rPr/>
        <w:fldChar w:fldCharType="end"/>
      </w:r>
      <w:r>
        <w:rPr/>
      </w:r>
    </w:p>
    <w:p>
      <w:pPr>
        <w:pStyle w:val="Normal"/>
        <w:spacing w:lineRule="exact" w:line="236"/>
        <w:rPr/>
      </w:pPr>
      <w:r>
        <w:rPr/>
      </w:r>
    </w:p>
    <w:p>
      <w:pPr>
        <w:pStyle w:val="Normal"/>
        <w:spacing w:lineRule="exact" w:line="455"/>
        <w:rPr/>
      </w:pPr>
      <w:r>
        <w:rPr/>
        <w:tab/>
        <w:t xml:space="preserve">Plaintiffs ENRON ENERGY SERVICES, INC. (“EES”) and ENRON ENERGY MARKETING CORP. (“EEMC”) allege as follows:  </w:t>
      </w:r>
    </w:p>
    <w:p>
      <w:pPr>
        <w:pStyle w:val="Heading1"/>
        <w:spacing w:lineRule="exact" w:line="455"/>
        <w:ind w:hanging="0" w:start="0"/>
        <w:jc w:val="start"/>
        <w:rPr/>
      </w:pPr>
      <w:r>
        <w:rPr/>
        <w:t xml:space="preserve">This is an adversary proceeding seeking declaratory relief pursuant to 11 U.S.C. § 105, 28 U.S.C. § 2201 and Federal Rule of Bankruptcy Procedure 7001.  </w:t>
      </w:r>
    </w:p>
    <w:p>
      <w:pPr>
        <w:pStyle w:val="Heading1"/>
        <w:spacing w:lineRule="exact" w:line="455"/>
        <w:ind w:hanging="0" w:start="0"/>
        <w:jc w:val="start"/>
        <w:rPr/>
      </w:pPr>
      <w:r>
        <w:rPr/>
        <w:t>EES is a corporation organized and existing under Delaware law.  EEMC is a corporation organized and existing under California law.  Both EES and EEMC are indirect wholly owned subsidiaries of Enron Corp. and have their principal places of business in Houston, Texas.  Both EES and EEMC are registered with the state of California as energy service providers, and such companies collectively purchase and sell energy to more than [</w:t>
      </w:r>
      <w:r>
        <w:rPr>
          <w:b/>
        </w:rPr>
        <w:t>insert number]</w:t>
      </w:r>
      <w:r>
        <w:rPr/>
        <w:t xml:space="preserve"> California businesses and energy users under a Direct Access Program approved by the California Public Utilities Commission (“CPUC”).  Pursuant to this program, EES and EEMC sell electric energy at retail – including to customers located within the service territory of Pacific Gas &amp; Electric Company (“PG&amp;E” or “Debtor”).</w:t>
      </w:r>
    </w:p>
    <w:p>
      <w:pPr>
        <w:pStyle w:val="Heading1"/>
        <w:spacing w:lineRule="exact" w:line="455"/>
        <w:ind w:hanging="0" w:start="0"/>
        <w:jc w:val="start"/>
        <w:rPr/>
      </w:pPr>
      <w:r>
        <w:rPr/>
        <w:t>Defendant PG&amp;E is a California corporation with its principal place of business in San Francisco, California.  PG&amp;E filed for Chapter 11 Bankruptcy relief in this Court on April 6, 2001 and is currently operating its business as Debtor-in-Possession.  Among other activities, PG&amp;E is engaged in the transmission and distribution of electricity within Northern California and is a “public utility” within the meaning of the California Public Utilities Code.  PG&amp;E currently provides transmission, distribution and other related services to EES’ and EEMC’s Direct Access customers in PG&amp;E’s service territory.</w:t>
      </w:r>
    </w:p>
    <w:p>
      <w:pPr>
        <w:pStyle w:val="Normal"/>
        <w:spacing w:lineRule="exact" w:line="455"/>
        <w:jc w:val="center"/>
        <w:rPr>
          <w:u w:val="single"/>
        </w:rPr>
      </w:pPr>
      <w:r>
        <w:rPr>
          <w:b/>
        </w:rPr>
        <w:t>JURISDICTION AND VENUE</w:t>
      </w:r>
    </w:p>
    <w:p>
      <w:pPr>
        <w:pStyle w:val="Heading1"/>
        <w:spacing w:lineRule="exact" w:line="455"/>
        <w:ind w:hanging="0" w:start="0"/>
        <w:jc w:val="start"/>
        <w:rPr/>
      </w:pPr>
      <w:r>
        <w:rPr/>
        <w:t>This case involves PG&amp;E’s current post-petition charges for transmission, distribution and other charges for energy sold by EES and EEMC to their Direct Access customers.  Accordingly, this adversary proceeding arises in or relates to the Bankruptcy Case within the meaning of 28 U.S.C. § 1334(b).  Therefore, this Court has jurisdiction over this adversary proceeding pursuant to 28 U.S.C. § 1334(b).  Further, this case involves property of the estate and therefore this Court has exclusive jurisdiction pursuant to § 1334(e).</w:t>
      </w:r>
    </w:p>
    <w:p>
      <w:pPr>
        <w:pStyle w:val="Heading1"/>
        <w:spacing w:lineRule="exact" w:line="455"/>
        <w:ind w:hanging="0" w:start="0"/>
        <w:jc w:val="start"/>
        <w:rPr/>
      </w:pPr>
      <w:r>
        <w:rPr/>
        <w:t xml:space="preserve">This adversary proceeding is a core proceeding pursuant to 28 U.S.C. § 157(b)(2)(A), (B), (E), (G), (M) and (O).  </w:t>
      </w:r>
    </w:p>
    <w:p>
      <w:pPr>
        <w:pStyle w:val="Heading1"/>
        <w:spacing w:lineRule="exact" w:line="455"/>
        <w:ind w:hanging="0" w:start="0"/>
        <w:jc w:val="start"/>
        <w:rPr/>
      </w:pPr>
      <w:r>
        <w:rPr/>
        <w:t>Venue in this action is proper in this district pursuant to 28 U.S.C.  § 1409.</w:t>
      </w:r>
    </w:p>
    <w:p>
      <w:pPr>
        <w:pStyle w:val="Normal"/>
        <w:keepNext w:val="true"/>
        <w:spacing w:lineRule="exact" w:line="455"/>
        <w:jc w:val="center"/>
        <w:rPr>
          <w:b/>
        </w:rPr>
      </w:pPr>
      <w:r>
        <w:rPr>
          <w:b/>
        </w:rPr>
        <w:t>FACTUAL BACKGROUND</w:t>
      </w:r>
    </w:p>
    <w:p>
      <w:pPr>
        <w:pStyle w:val="Normal"/>
        <w:spacing w:lineRule="exact" w:line="455"/>
        <w:rPr/>
      </w:pPr>
      <w:r>
        <w:rPr>
          <w:b/>
        </w:rPr>
        <w:t>A.</w:t>
        <w:tab/>
      </w:r>
      <w:r>
        <w:rPr>
          <w:b/>
          <w:u w:val="single"/>
        </w:rPr>
        <w:t xml:space="preserve"> Direct Access Program</w:t>
      </w:r>
    </w:p>
    <w:p>
      <w:pPr>
        <w:pStyle w:val="Heading1"/>
        <w:spacing w:lineRule="exact" w:line="455"/>
        <w:ind w:hanging="0" w:start="0"/>
        <w:jc w:val="start"/>
        <w:rPr/>
      </w:pPr>
      <w:r>
        <w:rPr/>
        <w:t xml:space="preserve">In 1996, California’s electric industry was restructured through the passage of Assembly Bill 1890 (“AB 1890”).  One feature of the restructuring provided under passage of AB 1890 was an effort by the California Legislature and CPUC to encourage end-use customers, including large commercial concerns, to buy power from suppliers other than their franchised local utility through what came to be called the “Direct Access Program.”  A Direct Access Program customer purchases its electric energy from an energy service provider (“ESP”), such as EES and EEMC, and has that energy delivered to it over transmission and distribution lines owned by the local utilities, such as PG&amp;E.   As part of the Direct Access Program, EES and EMC executed an “Energy Service Provider Service Agreement” dated ____________, a copy of which is attached as Exhibit A.  Section 1.1 of that agreement states that the agreement governs “the business relationship” between PG&amp;E and EES and EMC.  </w:t>
      </w:r>
    </w:p>
    <w:p>
      <w:pPr>
        <w:pStyle w:val="Heading1"/>
        <w:spacing w:lineRule="exact" w:line="455"/>
        <w:ind w:hanging="0" w:start="0"/>
        <w:jc w:val="start"/>
        <w:rPr/>
      </w:pPr>
      <w:r>
        <w:rPr/>
        <w:t xml:space="preserve">The Direct Access Program allows ESPs to strike whatever bargain they wish with end-use customers.  EES and EEMC entered into fixed-price energy sales contracts with large end-use customers under which EES and EEMC sell electricity to those customers for a discount off the bundled tariff rate charged by PG&amp;E and frozen until March 31, 2002 by the terms of AB 1890.  PG&amp;E, in turn, bills EES and EEMC for the customer’s transmission, distribution, other related service charges and the Competition Transition Charge (“CTC”).  </w:t>
      </w:r>
    </w:p>
    <w:p>
      <w:pPr>
        <w:pStyle w:val="Heading1"/>
        <w:spacing w:lineRule="exact" w:line="455"/>
        <w:ind w:hanging="0" w:start="0"/>
        <w:jc w:val="start"/>
        <w:rPr/>
      </w:pPr>
      <w:r>
        <w:rPr/>
        <w:t xml:space="preserve">EES and EEMC each issue "consolidated" bills to their customers.  This means that EES and EEMC, rather than PG&amp;E, are the entities that bills all charges to their end-use customers including PG&amp;E's charges. </w:t>
      </w:r>
    </w:p>
    <w:p>
      <w:pPr>
        <w:pStyle w:val="Heading1"/>
        <w:spacing w:lineRule="exact" w:line="455"/>
        <w:ind w:hanging="0" w:start="0"/>
        <w:jc w:val="start"/>
        <w:rPr/>
      </w:pPr>
      <w:r>
        <w:rPr/>
        <w:t>However, under the Direct Access Program, EES and EEMC, not the end-use customers, are ultimately liable to PG&amp;E for all of PG&amp;E’s charges, regardless of whether the end-use customers pay EES and EEMC all or any portion of the invoice issued to the customers by EES and EEMC.  Thus, EES’ and EEMC’s agreements with their customers, by virtue of providing the customer with a fixed price, insulate those customers from market volatility, just as does the frozen bundled rate PG&amp;E must charge its end-use customers pursuant to AB 1890.  By comparison, EES’ and EEMC’s agreements with their customers provide them with a better price than PG&amp;E could provide.  Those agreements also expose EES and EEMC to the risks of market volatility and the failure of their customers to pay their invoices.</w:t>
      </w:r>
    </w:p>
    <w:p>
      <w:pPr>
        <w:pStyle w:val="Heading1"/>
        <w:spacing w:lineRule="exact" w:line="455"/>
        <w:ind w:hanging="0" w:start="0"/>
        <w:jc w:val="start"/>
        <w:rPr/>
      </w:pPr>
      <w:r>
        <w:rPr/>
        <w:t xml:space="preserve"> </w:t>
      </w:r>
      <w:r>
        <w:rPr/>
        <w:t>To promote the Direct Access Program, the CPUC had to eliminate energy procurement costs from the frozen bundled rate charged by PG&amp;E; otherwise, ESPs and/or their Direct Access customers would be saddled with energy costs twice.  To accomplish this, the CPUC authorized a credit that it referred to as a “PX Energy Credit,” or, as PG&amp;E often refers to it in its bills to EES and EEMC, a “Direct Access Energy Credit.”  This credit is in an amount equal to the price actually paid by PG&amp;E for its procurement of electric energy during a particular billing period, primarily through the California Power Exchange.  When large enough, application of this credit on the bills rendered to ESPs can have the effect of reducing the charges for transmission, distribution, other related service charges and the CTC levied by PG&amp;E against Direct Access accounts.  (An example of such a bill is attached hereto as Exhibit B.)  [</w:t>
      </w:r>
      <w:r>
        <w:rPr>
          <w:b/>
        </w:rPr>
        <w:t>need to get from EES.]</w:t>
      </w:r>
      <w:r>
        <w:rPr/>
        <w:t xml:space="preserve">  Moreover, in theory, if PG&amp;E’s actual energy costs were sufficiently large enough, PG&amp;E’s charges to EES and EEMC for transmission, distribution, other related services and the CTC could be reduced to zero.  (An example of such a bill is attached hereto as Exhibit C.)  </w:t>
      </w:r>
      <w:r>
        <w:rPr>
          <w:b/>
        </w:rPr>
        <w:t>[need to get]</w:t>
      </w:r>
      <w:r>
        <w:rPr/>
        <w:t xml:space="preserve">  However, under the Direct Access Program </w:t>
      </w:r>
      <w:r>
        <w:rPr>
          <w:u w:val="single"/>
        </w:rPr>
        <w:t>as</w:t>
      </w:r>
      <w:r>
        <w:rPr/>
        <w:t xml:space="preserve"> </w:t>
      </w:r>
      <w:r>
        <w:rPr>
          <w:u w:val="single"/>
        </w:rPr>
        <w:t>originally</w:t>
      </w:r>
      <w:r>
        <w:rPr/>
        <w:t xml:space="preserve"> </w:t>
      </w:r>
      <w:r>
        <w:rPr>
          <w:u w:val="single"/>
        </w:rPr>
        <w:t>designed</w:t>
      </w:r>
      <w:r>
        <w:rPr/>
        <w:t xml:space="preserve">, no matter what PG&amp;E’s actual cost of energy, the maximum PX Energy Credit available would only produce a bill for ESPs of zero ($0.00) ("the zero bill limitation").  </w:t>
      </w:r>
    </w:p>
    <w:p>
      <w:pPr>
        <w:pStyle w:val="Normal"/>
        <w:keepNext w:val="true"/>
        <w:spacing w:lineRule="exact" w:line="455"/>
        <w:rPr/>
      </w:pPr>
      <w:r>
        <w:rPr>
          <w:b/>
        </w:rPr>
        <w:t xml:space="preserve">B. </w:t>
        <w:tab/>
      </w:r>
      <w:r>
        <w:rPr>
          <w:b/>
          <w:u w:val="single"/>
        </w:rPr>
        <w:t>Elimination of the Ceiling on PX Energy Credits</w:t>
      </w:r>
    </w:p>
    <w:p>
      <w:pPr>
        <w:pStyle w:val="Heading1"/>
        <w:spacing w:lineRule="exact" w:line="455"/>
        <w:ind w:hanging="0" w:start="0"/>
        <w:jc w:val="start"/>
        <w:rPr/>
      </w:pPr>
      <w:r>
        <w:rPr/>
        <w:t>On June 10, 1999, the CPUC entered an order (Decision 99-06-058), attached hereto as Exhibit D, based on stipulations between PG&amp;E and Southern California Edison (“SCE”), the Western Power Trading Forum and Enron Corp., the ultimate parent of EES and EEMC, providing that when the PX Energy Credit applicable to a Direct Access account exceeds the amount of transmission, distribution, other related services and CTC charges applicable to that account, PG&amp;E and SCE would refund in the form of a credit the amount of the difference (hereinafter referred to as “surplus PX Energy Credits”) to all ESPs, including EES and EEMC.  Thus, the CPUC order eliminated the "zero bill limitation."</w:t>
      </w:r>
    </w:p>
    <w:p>
      <w:pPr>
        <w:pStyle w:val="Normal"/>
        <w:keepNext w:val="true"/>
        <w:spacing w:lineRule="exact" w:line="455"/>
        <w:rPr/>
      </w:pPr>
      <w:r>
        <w:rPr>
          <w:b/>
        </w:rPr>
        <w:t xml:space="preserve">C. </w:t>
        <w:tab/>
      </w:r>
      <w:r>
        <w:rPr>
          <w:b/>
          <w:u w:val="single"/>
        </w:rPr>
        <w:t>Effect of the Energy Crisis on Direct Access Program Participants</w:t>
      </w:r>
    </w:p>
    <w:p>
      <w:pPr>
        <w:pStyle w:val="Heading1"/>
        <w:spacing w:lineRule="exact" w:line="455"/>
        <w:ind w:hanging="0" w:start="0"/>
        <w:jc w:val="start"/>
        <w:rPr/>
      </w:pPr>
      <w:r>
        <w:rPr/>
        <w:t xml:space="preserve">Starting in May or June 2000, the cost of electric energy purchased by PG&amp;E from the California Power Exchange increased significantly, resulting in proportionally significant increases in the amount of the PX Energy Credit applicable to EES’ and EEMC’s Direct Access accounts.  As the amount of the PX Energy Credits increased, these credits soon exceeded the service and other charges due PG&amp;E in connection with EES’ and EEMC’s Direct Access Accounts.  Because the ceiling on PX Energy Credits had been eliminated by Decision 99-06-058, PG&amp;E was obligated either to refund to EES and EEMC the amount by which their accrued PX Energy Credits exceeded the service charges due PG&amp;E, or credit them against future bills. </w:t>
      </w:r>
    </w:p>
    <w:p>
      <w:pPr>
        <w:pStyle w:val="Heading1"/>
        <w:keepNext w:val="true"/>
        <w:spacing w:lineRule="exact" w:line="455"/>
        <w:ind w:hanging="0" w:start="0"/>
        <w:jc w:val="start"/>
        <w:rPr>
          <w:b/>
        </w:rPr>
      </w:pPr>
      <w:r>
        <w:rPr>
          <w:b/>
        </w:rPr>
        <w:t xml:space="preserve">[The surplus PX Energy Credits were allocated between ESPs and their Direct Access customers pursuant to their respective contracts.] </w:t>
      </w:r>
    </w:p>
    <w:p>
      <w:pPr>
        <w:pStyle w:val="Heading1"/>
        <w:spacing w:lineRule="exact" w:line="455"/>
        <w:ind w:hanging="0" w:start="0"/>
        <w:jc w:val="start"/>
        <w:rPr/>
      </w:pPr>
      <w:r>
        <w:rPr/>
        <w:t xml:space="preserve">Initially, when circumstances created a surplus PX Energy Credit, PG&amp;E made cash payments to EEC and other ESPs.  PG&amp;E paid approximately $100,000 in surplus PX Energy Credits to EES and EEMC and approximately $39 million to other ESPs.  These payments, however, soon ceased and thereafter PG&amp;E bills to EES and EEMC identified the amount of the surplus PX Energy Credits to be paid or applied against future bills.  A sample of such a bill is attached hereto as Exhibit E.  </w:t>
      </w:r>
    </w:p>
    <w:p>
      <w:pPr>
        <w:pStyle w:val="Heading1"/>
        <w:spacing w:lineRule="exact" w:line="455"/>
        <w:ind w:hanging="0" w:start="0"/>
        <w:jc w:val="start"/>
        <w:rPr>
          <w:b/>
        </w:rPr>
      </w:pPr>
      <w:r>
        <w:rPr>
          <w:b/>
        </w:rPr>
        <w:t>[Discussion of transfer of customers to bundled service and return to EES and EEMC.]</w:t>
      </w:r>
    </w:p>
    <w:p>
      <w:pPr>
        <w:pStyle w:val="Normal"/>
        <w:keepNext w:val="true"/>
        <w:spacing w:lineRule="exact" w:line="455"/>
        <w:rPr/>
      </w:pPr>
      <w:r>
        <w:rPr>
          <w:b/>
        </w:rPr>
        <w:t>D.</w:t>
        <w:tab/>
      </w:r>
      <w:r>
        <w:rPr>
          <w:b/>
          <w:u w:val="single"/>
        </w:rPr>
        <w:t>The Dispute Between PG&amp;E and EES/EEMC</w:t>
      </w:r>
    </w:p>
    <w:p>
      <w:pPr>
        <w:pStyle w:val="Heading1"/>
        <w:spacing w:lineRule="exact" w:line="455"/>
        <w:ind w:hanging="0" w:start="0"/>
        <w:jc w:val="start"/>
        <w:rPr/>
      </w:pPr>
      <w:r>
        <w:rPr/>
        <w:t xml:space="preserve">PG&amp;E has admitted to EES and EEMC that it owes EES and EEMC the accrued but unpaid PX Energy Credits relating to their respective Direct Access accounts.  In December 2000, PG&amp;E corresponded with EES and EEMC and promised to make arrangements for payment to EES and EEMC of </w:t>
      </w:r>
      <w:r>
        <w:rPr>
          <w:b/>
        </w:rPr>
        <w:t>[$69,708,032]</w:t>
      </w:r>
      <w:r>
        <w:rPr/>
        <w:t xml:space="preserve"> as a partial payment of the surplus PX Energy Credits which had accrued as of that date.  A copy of correspondence and e-mail relating to this promised payment is attached as Exhibit F.  (EES and EEMC estimated that they were owed, collectively, approximately $____ as of December 21, 2000.)  Notwithstanding its admission that it owes EES and EEMC surplus PX Energy Credits and its commitment to pay EES and EEMC at least some of them, PG&amp;E then failed to follow through on its commitment, changed its position and refused to pay EES and EEMC because (1) PG&amp;E contended that the rate freeze ended in May 2000, and thus, no PX Energy Credits whatsoever, including surplus PX Energy Credits, could have accrued since that date, and (2) owing to PG&amp;E’s financial condition, it could not pay so large a “disputed” bill.  </w:t>
      </w:r>
    </w:p>
    <w:p>
      <w:pPr>
        <w:pStyle w:val="Heading1"/>
        <w:spacing w:lineRule="exact" w:line="455"/>
        <w:ind w:hanging="0" w:start="0"/>
        <w:jc w:val="start"/>
        <w:rPr/>
      </w:pPr>
      <w:r>
        <w:rPr/>
        <w:t xml:space="preserve">Recently, PG&amp;E has begun to bill EES and EEMC for post-petition transmission, distribution, CTC and other related service charges without crediting existing surplus PX Energy Credits against those charges.  An example of such a bill is attached hereto as Exhibit F. </w:t>
      </w:r>
      <w:r>
        <w:rPr>
          <w:b/>
        </w:rPr>
        <w:t>[need to get from EES.]</w:t>
      </w:r>
      <w:r>
        <w:rPr/>
        <w:t xml:space="preserve">   Prior to January 2001, PG&amp;E’s bills to EES and EEMC reflected the amount of the accrued but unpaid surplus PX Energy Credit due EES and EEMC.  However, post-petition bills for current services no longer reflect the accrued but unpaid PX Energy Credit.  EES and EEMC have requested PG&amp;E to restore these accrued but unpaid surplus PX Energy Credits but PG&amp;E has refused.  </w:t>
      </w:r>
      <w:r>
        <w:rPr>
          <w:b/>
        </w:rPr>
        <w:t>[When will this be done?  By whom?</w:t>
      </w:r>
      <w:r>
        <w:rPr/>
        <w:t xml:space="preserve">]  EES and EEMC are informed and believe that PG&amp;E maintains the accrued but unpaid surplus PX Energy Credits in an internal PG&amp;E reserve account.  </w:t>
      </w:r>
    </w:p>
    <w:p>
      <w:pPr>
        <w:pStyle w:val="Heading1"/>
        <w:spacing w:lineRule="exact" w:line="455"/>
        <w:ind w:hanging="0" w:start="0"/>
        <w:jc w:val="start"/>
        <w:rPr/>
      </w:pPr>
      <w:r>
        <w:rPr/>
        <w:t>As of the date of filing of this Complaint, the aggregate amount of accrued but unpaid surplus PX Energy Credits due EES is $200.4 million and due EEMC is $165.5 million.  In a filing with the Securities and Exchange Commission, PG&amp;E estimated that the accrued but unpaid PX Energy Credits due all ESP's in connection with Direct Access accounts may be as high as $433 million as of February 14, 2001.</w:t>
      </w:r>
    </w:p>
    <w:p>
      <w:pPr>
        <w:pStyle w:val="Heading1"/>
        <w:spacing w:lineRule="exact" w:line="455"/>
        <w:ind w:hanging="0" w:start="0"/>
        <w:jc w:val="start"/>
        <w:rPr/>
      </w:pPr>
      <w:r>
        <w:rPr/>
        <w:t xml:space="preserve">EES and EEMC intend to recoup the accrued but unpaid surplus PX Energy Credits against current and future service charges billed by PG&amp;E to EES and EEMC.  Their recoupment claim arises from the business relationship between EES/EEMC and PG&amp;E under the “Energy Service Provider Service Agreement”, the same agreement that gives rise to PG&amp;E's post-petition claim for transmission, distribution and other charges from EES and EEMC, and as such, is exempt from the automatic stay under the doctrine of equitable recoupment.  </w:t>
      </w:r>
    </w:p>
    <w:p>
      <w:pPr>
        <w:pStyle w:val="Heading1"/>
        <w:spacing w:lineRule="exact" w:line="455"/>
        <w:ind w:hanging="0" w:start="0"/>
        <w:jc w:val="start"/>
        <w:rPr/>
      </w:pPr>
      <w:r>
        <w:rPr/>
        <w:t>PG&amp;E has informed EES and EEMC that it expects full payment from EES and EEMC for current and future service charges notwithstanding that there exists accrued by unpaid PX Energy Credits relating to EES' and EEMC’s Direct Access accounts which EES and EEMC are entitled to recoup.</w:t>
      </w:r>
    </w:p>
    <w:p>
      <w:pPr>
        <w:pStyle w:val="Heading1"/>
        <w:spacing w:lineRule="exact" w:line="455"/>
        <w:ind w:hanging="0" w:start="0"/>
        <w:jc w:val="start"/>
        <w:rPr/>
      </w:pPr>
      <w:r>
        <w:rPr/>
        <w:t>Attached hereto as Exhibit H is a letter sent by _______________ to _____________________ of PG&amp;E setting forth EES' and EEMC’s position.  PG&amp;E disagrees with EES and EEMC and has (a) deleted all references to the accrued but unpaid surplus PX Energy Credits or “Direct Access Energy Credits” from its current bills, and (b) required that current service charges applicable to EES' and EEMC’s Direct Access accounts be paid, notwithstanding the existence of the accrued but unpaid surplus PX Energy Credits applicable to those accounts.</w:t>
      </w:r>
    </w:p>
    <w:p>
      <w:pPr>
        <w:pStyle w:val="Normal"/>
        <w:keepNext w:val="true"/>
        <w:spacing w:lineRule="exact" w:line="455"/>
        <w:jc w:val="center"/>
        <w:rPr>
          <w:b/>
        </w:rPr>
      </w:pPr>
      <w:r>
        <w:rPr>
          <w:b/>
        </w:rPr>
        <w:t>CLAIM FOR RELIEF</w:t>
      </w:r>
    </w:p>
    <w:p>
      <w:pPr>
        <w:pStyle w:val="Normal"/>
        <w:keepNext w:val="true"/>
        <w:spacing w:lineRule="exact" w:line="455"/>
        <w:jc w:val="center"/>
        <w:rPr>
          <w:b/>
        </w:rPr>
      </w:pPr>
      <w:r>
        <w:rPr>
          <w:b/>
        </w:rPr>
        <w:t>Declaratory Relief Pursuant to 28 U.S.C. § 2201</w:t>
      </w:r>
    </w:p>
    <w:p>
      <w:pPr>
        <w:pStyle w:val="Heading1"/>
        <w:spacing w:lineRule="exact" w:line="455"/>
        <w:ind w:hanging="0" w:start="0"/>
        <w:jc w:val="start"/>
        <w:rPr/>
      </w:pPr>
      <w:r>
        <w:rPr/>
        <w:t>EES and EEMC incorporate paragraphs 1 through _____ as though fully set forth herein.</w:t>
      </w:r>
    </w:p>
    <w:p>
      <w:pPr>
        <w:pStyle w:val="Heading1"/>
        <w:spacing w:lineRule="exact" w:line="455"/>
        <w:ind w:hanging="0" w:start="0"/>
        <w:jc w:val="start"/>
        <w:rPr/>
      </w:pPr>
      <w:r>
        <w:rPr/>
        <w:t>This is a claim for declaratory relief brought under the provisions of 28 U.S.C.  § 2201.</w:t>
      </w:r>
    </w:p>
    <w:p>
      <w:pPr>
        <w:pStyle w:val="Heading1"/>
        <w:spacing w:lineRule="exact" w:line="455"/>
        <w:ind w:hanging="0" w:start="0"/>
        <w:jc w:val="start"/>
        <w:rPr/>
      </w:pPr>
      <w:r>
        <w:rPr/>
        <w:t>An actual controversy has arisen and now exists between EES and EEMC on the one hand, and PG&amp;E on the other hand, relating to the legal and equitable rights of EES and EEMC and duties of PG&amp;E for which EES and EEMC seek a judicial declaration of their rights to accrued but unpaid surplus PX Energy Credits as well as further necessary or proper relief.</w:t>
      </w:r>
    </w:p>
    <w:p>
      <w:pPr>
        <w:pStyle w:val="Heading1"/>
        <w:spacing w:lineRule="exact" w:line="455"/>
        <w:ind w:hanging="0" w:start="0"/>
        <w:jc w:val="start"/>
        <w:rPr/>
      </w:pPr>
      <w:r>
        <w:rPr/>
        <w:t>EES and EEMC are entitled to equitably recoup the accrued but unpaid surplus PX Energy Credits applicable to their Direct Access Program accounts against present and future sums which are due to PG&amp;E for post-petition service charges applicable to EES' and EEMC’s Direct Access accounts.</w:t>
      </w:r>
    </w:p>
    <w:p>
      <w:pPr>
        <w:pStyle w:val="Heading1"/>
        <w:spacing w:lineRule="exact" w:line="455"/>
        <w:ind w:hanging="0" w:start="0"/>
        <w:jc w:val="start"/>
        <w:rPr/>
      </w:pPr>
      <w:r>
        <w:rPr/>
        <w:t>A declaratory judgment is necessary and appropriate at this time in that EES and EEMC contends -- and PG&amp;E disagrees -- that EES and EEMC are entitled to equitably recoup any accrued but unpaid surplus PX Energy Credits applicable to EES’ and EEMC’s Direct Access accounts based on the business relationship of the parties as set forth in “Energy Service Provider Service Agreement.”</w:t>
      </w:r>
    </w:p>
    <w:p>
      <w:pPr>
        <w:pStyle w:val="Heading1"/>
        <w:spacing w:lineRule="exact" w:line="455"/>
        <w:ind w:hanging="0" w:start="0"/>
        <w:jc w:val="start"/>
        <w:rPr/>
      </w:pPr>
      <w:r>
        <w:rPr/>
        <w:t>In addition, in the event that the Court orders that EES is entitled to recoup accrued PX Energy Credits against current and future service charges billed by PG&amp;E, the Court should further order that the automatic stay under Section 362 of the Bankruptcy Code does not apply to such recoupment.</w:t>
      </w:r>
    </w:p>
    <w:p>
      <w:pPr>
        <w:pStyle w:val="Normal"/>
        <w:spacing w:lineRule="exact" w:line="455"/>
        <w:ind w:firstLine="720" w:end="0"/>
        <w:rPr/>
      </w:pPr>
      <w:r>
        <w:rPr/>
        <w:t>WHEREFORE, EES and EEMC pray for relief as follows:</w:t>
      </w:r>
    </w:p>
    <w:p>
      <w:pPr>
        <w:pStyle w:val="Normal"/>
        <w:spacing w:lineRule="exact" w:line="455"/>
        <w:ind w:firstLine="720" w:end="0"/>
        <w:rPr/>
      </w:pPr>
      <w:r>
        <w:rPr/>
        <w:t>1.</w:t>
        <w:tab/>
        <w:t>That the Court enter a judicial declaration that EES and EEMC may equitably recoup any PX Energy Credits relating to EES’ and EEMC’s Direct Access business accrued but unpaid as of April 6, 2001 against any sums due and owing to PG&amp;E relating to Direct Access programs until such time as there is no longer any such accrued but unpaid PX Energy Credits;</w:t>
      </w:r>
    </w:p>
    <w:p>
      <w:pPr>
        <w:pStyle w:val="Normal"/>
        <w:spacing w:lineRule="exact" w:line="455"/>
        <w:ind w:firstLine="720" w:end="0"/>
        <w:rPr/>
      </w:pPr>
      <w:r>
        <w:rPr/>
        <w:t>2.</w:t>
        <w:tab/>
        <w:t xml:space="preserve">The automatic stay is not applicable to EES' and EEMC’s recoupment of PX Energy Credits describe above; and </w:t>
      </w:r>
    </w:p>
    <w:p>
      <w:pPr>
        <w:pStyle w:val="Normal"/>
        <w:spacing w:lineRule="exact" w:line="455"/>
        <w:ind w:firstLine="720" w:end="0"/>
        <w:rPr/>
      </w:pPr>
      <w:r>
        <w:rPr/>
        <w:t>3.</w:t>
        <w:tab/>
        <w:t>For such other and further relief as the Court deems just and proper.</w:t>
      </w:r>
    </w:p>
    <w:p>
      <w:pPr>
        <w:pStyle w:val="Normal"/>
        <w:spacing w:lineRule="exact" w:line="228"/>
        <w:rPr/>
      </w:pPr>
      <w:bookmarkStart w:id="0" w:name="Start"/>
      <w:bookmarkEnd w:id="0"/>
      <w:r>
        <w:rPr/>
        <w:t xml:space="preserve">Dated:  </w:t>
      </w:r>
      <w:r>
        <w:rPr/>
        <w:fldChar w:fldCharType="begin"/>
      </w:r>
      <w:r>
        <w:rPr/>
        <w:instrText xml:space="preserve"> DATE \@"MMMM\ d', 'yyyy" </w:instrText>
      </w:r>
      <w:r>
        <w:rPr/>
        <w:fldChar w:fldCharType="separate"/>
      </w:r>
      <w:r>
        <w:rPr/>
        <w:t>September 28, 2025</w:t>
      </w:r>
      <w:r>
        <w:rPr/>
        <w:fldChar w:fldCharType="end"/>
      </w:r>
    </w:p>
    <w:tbl>
      <w:tblPr>
        <w:tblW w:w="5310" w:type="dxa"/>
        <w:jc w:val="end"/>
        <w:tblInd w:w="0" w:type="dxa"/>
        <w:tblLayout w:type="fixed"/>
        <w:tblCellMar>
          <w:top w:w="0" w:type="dxa"/>
          <w:start w:w="0" w:type="dxa"/>
          <w:bottom w:w="0" w:type="dxa"/>
          <w:end w:w="0" w:type="dxa"/>
        </w:tblCellMar>
      </w:tblPr>
      <w:tblGrid>
        <w:gridCol w:w="180"/>
        <w:gridCol w:w="5130"/>
      </w:tblGrid>
      <w:tr>
        <w:trPr/>
        <w:tc>
          <w:tcPr>
            <w:tcW w:w="180" w:type="dxa"/>
            <w:tcBorders/>
          </w:tcPr>
          <w:p>
            <w:pPr>
              <w:pStyle w:val="Normal"/>
              <w:spacing w:lineRule="exact" w:line="228"/>
              <w:rPr/>
            </w:pPr>
            <w:r>
              <w:rPr/>
              <w:t xml:space="preserve"> </w:t>
            </w:r>
          </w:p>
        </w:tc>
        <w:tc>
          <w:tcPr>
            <w:tcW w:w="5130" w:type="dxa"/>
            <w:tcBorders>
              <w:bottom w:val="single" w:sz="4" w:space="0" w:color="000000"/>
            </w:tcBorders>
          </w:tcPr>
          <w:p>
            <w:pPr>
              <w:pStyle w:val="Normal"/>
              <w:spacing w:lineRule="exact" w:line="228"/>
              <w:rPr/>
            </w:pPr>
            <w:r>
              <w:rPr/>
              <w:t xml:space="preserve">LeBOEUF, LAMB, GREENE &amp; MacRAE, LLP </w:t>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tc>
      </w:tr>
      <w:tr>
        <w:trPr/>
        <w:tc>
          <w:tcPr>
            <w:tcW w:w="180" w:type="dxa"/>
            <w:tcBorders/>
          </w:tcPr>
          <w:p>
            <w:pPr>
              <w:pStyle w:val="Normal"/>
              <w:snapToGrid w:val="false"/>
              <w:spacing w:lineRule="exact" w:line="228"/>
              <w:rPr/>
            </w:pPr>
            <w:r>
              <w:rPr/>
            </w:r>
          </w:p>
        </w:tc>
        <w:tc>
          <w:tcPr>
            <w:tcW w:w="5130" w:type="dxa"/>
            <w:tcBorders/>
          </w:tcPr>
          <w:p>
            <w:pPr>
              <w:pStyle w:val="Normal"/>
              <w:spacing w:lineRule="exact" w:line="228"/>
              <w:rPr/>
            </w:pPr>
            <w:r>
              <w:rPr/>
              <w:t>Sanford Kingsley</w:t>
            </w:r>
          </w:p>
          <w:p>
            <w:pPr>
              <w:pStyle w:val="Normal"/>
              <w:spacing w:lineRule="exact" w:line="228"/>
              <w:rPr/>
            </w:pPr>
            <w:r>
              <w:rPr/>
              <w:t>Attorneys for ENRON ENERGY SERVICES, INC., ENRON ENERGY MARKETING GROUP</w:t>
            </w:r>
          </w:p>
        </w:tc>
      </w:tr>
    </w:tbl>
    <w:p>
      <w:pPr>
        <w:pStyle w:val="Header"/>
        <w:tabs>
          <w:tab w:val="clear" w:pos="4320"/>
          <w:tab w:val="clear" w:pos="8640"/>
        </w:tabs>
        <w:spacing w:lineRule="exact" w:line="228"/>
        <w:rPr/>
      </w:pPr>
      <w:r>
        <w:rPr/>
      </w:r>
    </w:p>
    <w:sectPr>
      <w:headerReference w:type="default" r:id="rId2"/>
      <w:footerReference w:type="default" r:id="rId3"/>
      <w:type w:val="nextPage"/>
      <w:pgSz w:w="12240" w:h="15840"/>
      <w:pgMar w:left="2160" w:right="720" w:gutter="0" w:header="720" w:top="1440" w:footer="432"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1" distT="0" distB="0" distL="0" distR="0" simplePos="0" locked="0" layoutInCell="0" allowOverlap="1" relativeHeight="9">
              <wp:simplePos x="0" y="0"/>
              <wp:positionH relativeFrom="column">
                <wp:align>left</wp:align>
              </wp:positionH>
              <wp:positionV relativeFrom="line">
                <wp:align>top</wp:align>
              </wp:positionV>
              <wp:extent cx="5943600" cy="473710"/>
              <wp:effectExtent l="0" t="0" r="0" b="0"/>
              <wp:wrapNone/>
              <wp:docPr id="12" name="Frame2"/>
              <a:graphic xmlns:a="http://schemas.openxmlformats.org/drawingml/2006/main">
                <a:graphicData uri="http://schemas.microsoft.com/office/word/2010/wordprocessingShape">
                  <wps:wsp>
                    <wps:cNvSpPr txBox="1"/>
                    <wps:spPr>
                      <a:xfrm>
                        <a:off x="0" y="0"/>
                        <a:ext cx="5943600" cy="473710"/>
                      </a:xfrm>
                      <a:prstGeom prst="rect"/>
                      <a:solidFill>
                        <a:srgbClr val="FFFFFF"/>
                      </a:solidFill>
                    </wps:spPr>
                    <wps:txbx>
                      <w:txbxContent>
                        <w:p>
                          <w:pPr>
                            <w:pStyle w:val="Footer"/>
                            <w:ind w:end="360"/>
                            <w:rPr/>
                          </w:pPr>
                          <w:r>
                            <w:rPr>
                              <w:sz w:val="14"/>
                            </w:rPr>
                            <w:fldChar w:fldCharType="begin"/>
                          </w:r>
                          <w:r>
                            <w:rPr>
                              <w:sz w:val="14"/>
                            </w:rPr>
                            <w:instrText xml:space="preserve"> KEYWORDS </w:instrText>
                          </w:r>
                          <w:r>
                            <w:rPr>
                              <w:sz w:val="14"/>
                            </w:rPr>
                            <w:fldChar w:fldCharType="separate"/>
                          </w:r>
                          <w:r>
                            <w:rPr>
                              <w:sz w:val="14"/>
                            </w:rPr>
                            <w:t>SF 158966.1 02618 00125</w:t>
                          </w:r>
                          <w:r>
                            <w:rPr>
                              <w:sz w:val="14"/>
                            </w:rPr>
                            <w:fldChar w:fldCharType="end"/>
                          </w:r>
                          <w:r>
                            <w:rP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sz w:val="14"/>
                            </w:rPr>
                            <w:tab/>
                          </w:r>
                        </w:p>
                        <w:tbl>
                          <w:tblPr>
                            <w:tblW w:w="9270" w:type="dxa"/>
                            <w:jc w:val="start"/>
                            <w:tblInd w:w="108" w:type="dxa"/>
                            <w:tblLayout w:type="fixed"/>
                            <w:tblCellMar>
                              <w:top w:w="0" w:type="dxa"/>
                              <w:start w:w="108" w:type="dxa"/>
                              <w:bottom w:w="0" w:type="dxa"/>
                              <w:end w:w="108" w:type="dxa"/>
                            </w:tblCellMar>
                          </w:tblPr>
                          <w:tblGrid>
                            <w:gridCol w:w="4950"/>
                            <w:gridCol w:w="4320"/>
                          </w:tblGrid>
                          <w:tr>
                            <w:trPr/>
                            <w:tc>
                              <w:tcPr>
                                <w:tcW w:w="4950" w:type="dxa"/>
                                <w:tcBorders>
                                  <w:top w:val="single" w:sz="4" w:space="0" w:color="000000"/>
                                </w:tcBorders>
                              </w:tcPr>
                              <w:p>
                                <w:pPr>
                                  <w:pStyle w:val="Footer"/>
                                  <w:snapToGrid w:val="false"/>
                                  <w:rPr>
                                    <w:sz w:val="14"/>
                                  </w:rPr>
                                </w:pPr>
                                <w:r>
                                  <w:rPr>
                                    <w:sz w:val="14"/>
                                  </w:rPr>
                                </w:r>
                              </w:p>
                            </w:tc>
                            <w:tc>
                              <w:tcPr>
                                <w:tcW w:w="4320" w:type="dxa"/>
                                <w:tcBorders>
                                  <w:top w:val="single" w:sz="4" w:space="0" w:color="000000"/>
                                </w:tcBorders>
                              </w:tcPr>
                              <w:p>
                                <w:pPr>
                                  <w:pStyle w:val="Footer"/>
                                  <w:ind w:end="360"/>
                                  <w:jc w:val="end"/>
                                  <w:rPr>
                                    <w:sz w:val="16"/>
                                  </w:rPr>
                                </w:pPr>
                                <w:r>
                                  <w:rPr>
                                    <w:sz w:val="16"/>
                                  </w:rPr>
                                  <w:t>COMPLAINT FOR DECLARATORY RELIEF</w:t>
                                </w:r>
                              </w:p>
                            </w:tc>
                          </w:tr>
                        </w:tbl>
                        <w:p>
                          <w:pPr>
                            <w:pStyle w:val="Footer"/>
                            <w:rPr/>
                          </w:pPr>
                          <w:r>
                            <w:rPr/>
                          </w:r>
                        </w:p>
                      </w:txbxContent>
                    </wps:txbx>
                    <wps:bodyPr anchor="t" lIns="0" tIns="0" rIns="0" bIns="0">
                      <a:noAutofit/>
                    </wps:bodyPr>
                  </wps:wsp>
                </a:graphicData>
              </a:graphic>
            </wp:anchor>
          </w:drawing>
        </mc:Choice>
        <mc:Fallback>
          <w:pict>
            <v:rect style="position:absolute;rotation:-0;width:468pt;height:37.3pt;mso-wrap-distance-left:0pt;mso-wrap-distance-right:0pt;mso-wrap-distance-top:0pt;mso-wrap-distance-bottom:0pt;margin-top:-12.9pt;mso-position-vertical:top;mso-position-vertical-relative:text;margin-left:0pt;mso-position-horizontal:left;mso-position-horizontal-relative:text">
              <v:textbox inset="0in,0in,0in,0in">
                <w:txbxContent>
                  <w:p>
                    <w:pPr>
                      <w:pStyle w:val="Footer"/>
                      <w:ind w:end="360"/>
                      <w:rPr/>
                    </w:pPr>
                    <w:r>
                      <w:rPr>
                        <w:sz w:val="14"/>
                      </w:rPr>
                      <w:fldChar w:fldCharType="begin"/>
                    </w:r>
                    <w:r>
                      <w:rPr>
                        <w:sz w:val="14"/>
                      </w:rPr>
                      <w:instrText xml:space="preserve"> KEYWORDS </w:instrText>
                    </w:r>
                    <w:r>
                      <w:rPr>
                        <w:sz w:val="14"/>
                      </w:rPr>
                      <w:fldChar w:fldCharType="separate"/>
                    </w:r>
                    <w:r>
                      <w:rPr>
                        <w:sz w:val="14"/>
                      </w:rPr>
                      <w:t>SF 158966.1 02618 00125</w:t>
                    </w:r>
                    <w:r>
                      <w:rPr>
                        <w:sz w:val="14"/>
                      </w:rPr>
                      <w:fldChar w:fldCharType="end"/>
                    </w:r>
                    <w:r>
                      <w:rPr>
                        <w:sz w:val="14"/>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sz w:val="14"/>
                      </w:rPr>
                      <w:tab/>
                    </w:r>
                  </w:p>
                  <w:tbl>
                    <w:tblPr>
                      <w:tblW w:w="9270" w:type="dxa"/>
                      <w:jc w:val="start"/>
                      <w:tblInd w:w="108" w:type="dxa"/>
                      <w:tblLayout w:type="fixed"/>
                      <w:tblCellMar>
                        <w:top w:w="0" w:type="dxa"/>
                        <w:start w:w="108" w:type="dxa"/>
                        <w:bottom w:w="0" w:type="dxa"/>
                        <w:end w:w="108" w:type="dxa"/>
                      </w:tblCellMar>
                    </w:tblPr>
                    <w:tblGrid>
                      <w:gridCol w:w="4950"/>
                      <w:gridCol w:w="4320"/>
                    </w:tblGrid>
                    <w:tr>
                      <w:trPr/>
                      <w:tc>
                        <w:tcPr>
                          <w:tcW w:w="4950" w:type="dxa"/>
                          <w:tcBorders>
                            <w:top w:val="single" w:sz="4" w:space="0" w:color="000000"/>
                          </w:tcBorders>
                        </w:tcPr>
                        <w:p>
                          <w:pPr>
                            <w:pStyle w:val="Footer"/>
                            <w:snapToGrid w:val="false"/>
                            <w:rPr>
                              <w:sz w:val="14"/>
                            </w:rPr>
                          </w:pPr>
                          <w:r>
                            <w:rPr>
                              <w:sz w:val="14"/>
                            </w:rPr>
                          </w:r>
                        </w:p>
                      </w:tc>
                      <w:tc>
                        <w:tcPr>
                          <w:tcW w:w="4320" w:type="dxa"/>
                          <w:tcBorders>
                            <w:top w:val="single" w:sz="4" w:space="0" w:color="000000"/>
                          </w:tcBorders>
                        </w:tcPr>
                        <w:p>
                          <w:pPr>
                            <w:pStyle w:val="Footer"/>
                            <w:ind w:end="360"/>
                            <w:jc w:val="end"/>
                            <w:rPr>
                              <w:sz w:val="16"/>
                            </w:rPr>
                          </w:pPr>
                          <w:r>
                            <w:rPr>
                              <w:sz w:val="16"/>
                            </w:rPr>
                            <w:t>COMPLAINT FOR DECLARATORY RELIEF</w:t>
                          </w:r>
                        </w:p>
                      </w:tc>
                    </w:tr>
                  </w:tbl>
                  <w:p>
                    <w:pPr>
                      <w:pStyle w:val="Footer"/>
                      <w:rPr/>
                    </w:pPr>
                    <w:r>
                      <w:rPr/>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7">
              <wp:simplePos x="0" y="0"/>
              <wp:positionH relativeFrom="column">
                <wp:align>left</wp:align>
              </wp:positionH>
              <wp:positionV relativeFrom="line">
                <wp:posOffset>635</wp:posOffset>
              </wp:positionV>
              <wp:extent cx="5943600" cy="350520"/>
              <wp:effectExtent l="0" t="0" r="0" b="0"/>
              <wp:wrapNone/>
              <wp:docPr id="1" name="Frame3"/>
              <a:graphic xmlns:a="http://schemas.openxmlformats.org/drawingml/2006/main">
                <a:graphicData uri="http://schemas.microsoft.com/office/word/2010/wordprocessingShape">
                  <wps:wsp>
                    <wps:cNvSpPr txBox="1"/>
                    <wps:spPr>
                      <a:xfrm>
                        <a:off x="0" y="0"/>
                        <a:ext cx="5943600" cy="350520"/>
                      </a:xfrm>
                      <a:prstGeom prst="rect"/>
                      <a:solidFill>
                        <a:srgbClr val="FFFFFF"/>
                      </a:solidFill>
                    </wps:spPr>
                    <wps:txbx>
                      <w:txbxContent>
                        <w:p>
                          <w:pPr>
                            <w:pStyle w:val="Header"/>
                            <w:tabs>
                              <w:tab w:val="clear" w:pos="4320"/>
                              <w:tab w:val="clear" w:pos="8640"/>
                            </w:tabs>
                            <w:rPr>
                              <w:lang w:val="en-CA"/>
                            </w:rPr>
                          </w:pPr>
                          <w:r>
                            <w:rPr>
                              <w:lang w:val="en-CA"/>
                            </w:rPr>
                          </w:r>
                        </w:p>
                        <w:p>
                          <w:pPr>
                            <w:pStyle w:val="Normal"/>
                            <w:rPr>
                              <w:lang w:val="en-CA"/>
                            </w:rPr>
                          </w:pPr>
                          <w:r>
                            <w:rPr>
                              <w:lang w:val="en-CA"/>
                            </w:rPr>
                          </w:r>
                        </w:p>
                      </w:txbxContent>
                    </wps:txbx>
                    <wps:bodyPr anchor="t" lIns="0" tIns="0" rIns="0" bIns="0">
                      <a:noAutofit/>
                    </wps:bodyPr>
                  </wps:wsp>
                </a:graphicData>
              </a:graphic>
            </wp:anchor>
          </w:drawing>
        </mc:Choice>
        <mc:Fallback>
          <w:pict>
            <v:rect style="position:absolute;rotation:-0;width:468pt;height:27.6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tabs>
                        <w:tab w:val="clear" w:pos="4320"/>
                        <w:tab w:val="clear" w:pos="8640"/>
                      </w:tabs>
                      <w:rPr>
                        <w:lang w:val="en-CA"/>
                      </w:rPr>
                    </w:pPr>
                    <w:r>
                      <w:rPr>
                        <w:lang w:val="en-CA"/>
                      </w:rPr>
                      <w:pict>
                        <v:line id="shape_0" from="-3.6pt,0pt" to="-3.6pt,791.95pt" ID="LeftBorder1" stroked="t" o:allowincell="f" style="position:absolute;mso-position-horizontal-relative:margin;mso-position-vertical-relative:page">
                          <v:stroke color="black" weight="9360" joinstyle="miter" endcap="flat"/>
                          <v:fill o:detectmouseclick="t" on="false"/>
                          <w10:wrap type="none"/>
                        </v:line>
                      </w:pict>
                      <w:pict>
                        <v:line id="shape_0" from="-7.2pt,0pt" to="-7.2pt,791.95pt" ID="LeftBorder2" stroked="t" o:allowincell="f" style="position:absolute;mso-position-horizontal-relative:margin;mso-position-vertical-relative:page">
                          <v:stroke color="black" weight="9360" joinstyle="miter" endcap="flat"/>
                          <v:fill o:detectmouseclick="t" on="false"/>
                          <w10:wrap type="none"/>
                        </v:line>
                      </w:pict>
                      <w:pict>
                        <v:line id="shape_0" from="511.2pt,7.2pt" to="511.2pt,799.15pt" ID="RightBorder" stroked="t" o:allowincell="f" style="position:absolute;mso-position-horizontal-relative:margin;mso-position-vertical-relative:page">
                          <v:stroke color="black" weight="9360" joinstyle="miter" endcap="flat"/>
                          <v:fill o:detectmouseclick="t" on="false"/>
                          <w10:wrap type="none"/>
                        </v:line>
                      </w:pict>
                    </w:r>
                  </w:p>
                  <w:p>
                    <w:pPr>
                      <w:pStyle w:val="Normal"/>
                      <w:rPr>
                        <w:lang w:val="en-CA"/>
                      </w:rPr>
                    </w:pPr>
                    <w:r>
                      <w:rPr>
                        <w:lang w:val="en-CA"/>
                      </w:rPr>
                    </w:r>
                  </w:p>
                </w:txbxContent>
              </v:textbox>
              <w10:wrap type="none"/>
            </v:rect>
          </w:pict>
        </mc:Fallback>
      </mc:AlternateContent>
    </w:r>
    <w:r>
      <mc:AlternateContent>
        <mc:Choice Requires="wps">
          <w:drawing>
            <wp:anchor behindDoc="1" distT="0" distB="0" distL="114935" distR="114935" simplePos="0" locked="0" layoutInCell="0" allowOverlap="1" relativeHeight="49">
              <wp:simplePos x="0" y="0"/>
              <wp:positionH relativeFrom="margin">
                <wp:posOffset>-640080</wp:posOffset>
              </wp:positionH>
              <wp:positionV relativeFrom="margin">
                <wp:posOffset>0</wp:posOffset>
              </wp:positionV>
              <wp:extent cx="457200" cy="8229600"/>
              <wp:effectExtent l="0" t="0" r="0" b="0"/>
              <wp:wrapNone/>
              <wp:docPr id="8" name="Frame4"/>
              <a:graphic xmlns:a="http://schemas.openxmlformats.org/drawingml/2006/main">
                <a:graphicData uri="http://schemas.microsoft.com/office/word/2010/wordprocessingShape">
                  <wps:wsp>
                    <wps:cNvSpPr txBox="1"/>
                    <wps:spPr>
                      <a:xfrm>
                        <a:off x="0" y="0"/>
                        <a:ext cx="457200" cy="8229600"/>
                      </a:xfrm>
                      <a:prstGeom prst="rect"/>
                      <a:solidFill>
                        <a:srgbClr val="FFFFFF"/>
                      </a:solidFill>
                    </wps:spPr>
                    <wps:txbx>
                      <w:txbxContent>
                        <w:p>
                          <w:pPr>
                            <w:pStyle w:val="Normal"/>
                            <w:spacing w:lineRule="exact" w:line="455"/>
                            <w:jc w:val="end"/>
                            <w:rPr/>
                          </w:pPr>
                          <w:r>
                            <w:rPr/>
                            <w:t>1</w:t>
                          </w:r>
                        </w:p>
                        <w:p>
                          <w:pPr>
                            <w:pStyle w:val="Normal"/>
                            <w:spacing w:lineRule="exact" w:line="455"/>
                            <w:jc w:val="end"/>
                            <w:rPr/>
                          </w:pPr>
                          <w:r>
                            <w:rPr/>
                            <w:t>2</w:t>
                          </w:r>
                        </w:p>
                        <w:p>
                          <w:pPr>
                            <w:pStyle w:val="Normal"/>
                            <w:spacing w:lineRule="exact" w:line="455"/>
                            <w:jc w:val="end"/>
                            <w:rPr/>
                          </w:pPr>
                          <w:r>
                            <w:rPr/>
                            <w:t>3</w:t>
                          </w:r>
                        </w:p>
                        <w:p>
                          <w:pPr>
                            <w:pStyle w:val="Normal"/>
                            <w:spacing w:lineRule="exact" w:line="455"/>
                            <w:jc w:val="end"/>
                            <w:rPr/>
                          </w:pPr>
                          <w:r>
                            <w:rPr/>
                            <w:t>4</w:t>
                          </w:r>
                        </w:p>
                        <w:p>
                          <w:pPr>
                            <w:pStyle w:val="Normal"/>
                            <w:spacing w:lineRule="exact" w:line="455"/>
                            <w:jc w:val="end"/>
                            <w:rPr/>
                          </w:pPr>
                          <w:r>
                            <w:rPr/>
                            <w:t>5</w:t>
                          </w:r>
                        </w:p>
                        <w:p>
                          <w:pPr>
                            <w:pStyle w:val="Normal"/>
                            <w:spacing w:lineRule="exact" w:line="455"/>
                            <w:jc w:val="end"/>
                            <w:rPr/>
                          </w:pPr>
                          <w:r>
                            <w:rPr/>
                            <w:t>6</w:t>
                          </w:r>
                        </w:p>
                        <w:p>
                          <w:pPr>
                            <w:pStyle w:val="Normal"/>
                            <w:spacing w:lineRule="exact" w:line="455"/>
                            <w:jc w:val="end"/>
                            <w:rPr/>
                          </w:pPr>
                          <w:r>
                            <w:rPr/>
                            <w:t>7</w:t>
                          </w:r>
                        </w:p>
                        <w:p>
                          <w:pPr>
                            <w:pStyle w:val="Normal"/>
                            <w:spacing w:lineRule="exact" w:line="455"/>
                            <w:jc w:val="end"/>
                            <w:rPr/>
                          </w:pPr>
                          <w:r>
                            <w:rPr/>
                            <w:t>8</w:t>
                          </w:r>
                        </w:p>
                        <w:p>
                          <w:pPr>
                            <w:pStyle w:val="Normal"/>
                            <w:spacing w:lineRule="exact" w:line="455"/>
                            <w:jc w:val="end"/>
                            <w:rPr/>
                          </w:pPr>
                          <w:r>
                            <w:rPr/>
                            <w:t>9</w:t>
                          </w:r>
                        </w:p>
                        <w:p>
                          <w:pPr>
                            <w:pStyle w:val="Normal"/>
                            <w:spacing w:lineRule="exact" w:line="455"/>
                            <w:jc w:val="end"/>
                            <w:rPr/>
                          </w:pPr>
                          <w:r>
                            <w:rPr/>
                            <w:t>10</w:t>
                          </w:r>
                        </w:p>
                        <w:p>
                          <w:pPr>
                            <w:pStyle w:val="Normal"/>
                            <w:spacing w:lineRule="exact" w:line="455"/>
                            <w:jc w:val="end"/>
                            <w:rPr/>
                          </w:pPr>
                          <w:r>
                            <w:rPr/>
                            <w:t>11</w:t>
                          </w:r>
                        </w:p>
                        <w:p>
                          <w:pPr>
                            <w:pStyle w:val="Normal"/>
                            <w:spacing w:lineRule="exact" w:line="455"/>
                            <w:jc w:val="end"/>
                            <w:rPr/>
                          </w:pPr>
                          <w:r>
                            <w:rPr/>
                            <w:t>12</w:t>
                          </w:r>
                        </w:p>
                        <w:p>
                          <w:pPr>
                            <w:pStyle w:val="Normal"/>
                            <w:spacing w:lineRule="exact" w:line="455"/>
                            <w:jc w:val="end"/>
                            <w:rPr/>
                          </w:pPr>
                          <w:r>
                            <w:rPr/>
                            <w:t>13</w:t>
                          </w:r>
                        </w:p>
                        <w:p>
                          <w:pPr>
                            <w:pStyle w:val="Normal"/>
                            <w:spacing w:lineRule="exact" w:line="455"/>
                            <w:jc w:val="end"/>
                            <w:rPr/>
                          </w:pPr>
                          <w:r>
                            <w:rPr/>
                            <w:t>14</w:t>
                          </w:r>
                        </w:p>
                        <w:p>
                          <w:pPr>
                            <w:pStyle w:val="Normal"/>
                            <w:spacing w:lineRule="exact" w:line="455"/>
                            <w:jc w:val="end"/>
                            <w:rPr/>
                          </w:pPr>
                          <w:r>
                            <w:rPr/>
                            <w:t>15</w:t>
                          </w:r>
                        </w:p>
                        <w:p>
                          <w:pPr>
                            <w:pStyle w:val="Normal"/>
                            <w:spacing w:lineRule="exact" w:line="455"/>
                            <w:jc w:val="end"/>
                            <w:rPr/>
                          </w:pPr>
                          <w:r>
                            <w:rPr/>
                            <w:t>16</w:t>
                          </w:r>
                        </w:p>
                        <w:p>
                          <w:pPr>
                            <w:pStyle w:val="Normal"/>
                            <w:spacing w:lineRule="exact" w:line="455"/>
                            <w:jc w:val="end"/>
                            <w:rPr/>
                          </w:pPr>
                          <w:r>
                            <w:rPr/>
                            <w:t>17</w:t>
                          </w:r>
                        </w:p>
                        <w:p>
                          <w:pPr>
                            <w:pStyle w:val="Normal"/>
                            <w:spacing w:lineRule="exact" w:line="455"/>
                            <w:jc w:val="end"/>
                            <w:rPr/>
                          </w:pPr>
                          <w:r>
                            <w:rPr/>
                            <w:t>18</w:t>
                          </w:r>
                        </w:p>
                        <w:p>
                          <w:pPr>
                            <w:pStyle w:val="Normal"/>
                            <w:spacing w:lineRule="exact" w:line="455"/>
                            <w:jc w:val="end"/>
                            <w:rPr/>
                          </w:pPr>
                          <w:r>
                            <w:rPr/>
                            <w:t>19</w:t>
                          </w:r>
                        </w:p>
                        <w:p>
                          <w:pPr>
                            <w:pStyle w:val="Normal"/>
                            <w:spacing w:lineRule="exact" w:line="455"/>
                            <w:jc w:val="end"/>
                            <w:rPr/>
                          </w:pPr>
                          <w:r>
                            <w:rPr/>
                            <w:t>20</w:t>
                          </w:r>
                        </w:p>
                        <w:p>
                          <w:pPr>
                            <w:pStyle w:val="Normal"/>
                            <w:spacing w:lineRule="exact" w:line="455"/>
                            <w:jc w:val="end"/>
                            <w:rPr/>
                          </w:pPr>
                          <w:r>
                            <w:rPr/>
                            <w:t>21</w:t>
                          </w:r>
                        </w:p>
                        <w:p>
                          <w:pPr>
                            <w:pStyle w:val="Normal"/>
                            <w:spacing w:lineRule="exact" w:line="455"/>
                            <w:jc w:val="end"/>
                            <w:rPr/>
                          </w:pPr>
                          <w:r>
                            <w:rPr/>
                            <w:t>22</w:t>
                          </w:r>
                        </w:p>
                        <w:p>
                          <w:pPr>
                            <w:pStyle w:val="Normal"/>
                            <w:spacing w:lineRule="exact" w:line="455"/>
                            <w:jc w:val="end"/>
                            <w:rPr/>
                          </w:pPr>
                          <w:r>
                            <w:rPr/>
                            <w:t>23</w:t>
                          </w:r>
                        </w:p>
                        <w:p>
                          <w:pPr>
                            <w:pStyle w:val="Normal"/>
                            <w:spacing w:lineRule="exact" w:line="455"/>
                            <w:jc w:val="end"/>
                            <w:rPr/>
                          </w:pPr>
                          <w:r>
                            <w:rPr/>
                            <w:t>24</w:t>
                          </w:r>
                        </w:p>
                        <w:p>
                          <w:pPr>
                            <w:pStyle w:val="Normal"/>
                            <w:spacing w:lineRule="exact" w:line="455"/>
                            <w:jc w:val="end"/>
                            <w:rPr/>
                          </w:pPr>
                          <w:r>
                            <w:rPr/>
                            <w:t>25</w:t>
                          </w:r>
                        </w:p>
                        <w:p>
                          <w:pPr>
                            <w:pStyle w:val="Normal"/>
                            <w:spacing w:lineRule="exact" w:line="455"/>
                            <w:jc w:val="end"/>
                            <w:rPr/>
                          </w:pPr>
                          <w:r>
                            <w:rPr/>
                            <w:t>26</w:t>
                          </w:r>
                        </w:p>
                        <w:p>
                          <w:pPr>
                            <w:pStyle w:val="Normal"/>
                            <w:spacing w:lineRule="exact" w:line="455"/>
                            <w:jc w:val="end"/>
                            <w:rPr/>
                          </w:pPr>
                          <w:r>
                            <w:rPr/>
                            <w:t>27</w:t>
                          </w:r>
                        </w:p>
                        <w:p>
                          <w:pPr>
                            <w:pStyle w:val="Normal"/>
                            <w:spacing w:lineRule="exact" w:line="455"/>
                            <w:jc w:val="end"/>
                            <w:rPr/>
                          </w:pPr>
                          <w:r>
                            <w:rPr/>
                            <w:t>28</w:t>
                          </w:r>
                        </w:p>
                        <w:p>
                          <w:pPr>
                            <w:pStyle w:val="Normal"/>
                            <w:spacing w:lineRule="exact" w:line="455"/>
                            <w:jc w:val="end"/>
                            <w:rPr/>
                          </w:pPr>
                          <w:r>
                            <w:rPr/>
                          </w:r>
                        </w:p>
                      </w:txbxContent>
                    </wps:txbx>
                    <wps:bodyPr anchor="t" lIns="635" tIns="635" rIns="635" bIns="635">
                      <a:noAutofit/>
                    </wps:bodyPr>
                  </wps:wsp>
                </a:graphicData>
              </a:graphic>
            </wp:anchor>
          </w:drawing>
        </mc:Choice>
        <mc:Fallback>
          <w:pict>
            <v:rect fillcolor="#FFFFFF" style="position:absolute;rotation:-0;width:36pt;height:648pt;mso-wrap-distance-left:9.05pt;mso-wrap-distance-right:9.05pt;mso-wrap-distance-top:0pt;mso-wrap-distance-bottom:0pt;margin-top:0pt;mso-position-vertical-relative:margin;margin-left:-50.4pt;mso-position-horizontal-relative:margin">
              <v:textbox inset="0.000694444444444445in,0.000694444444444445in,0.000694444444444445in,0.000694444444444445in">
                <w:txbxContent>
                  <w:p>
                    <w:pPr>
                      <w:pStyle w:val="Normal"/>
                      <w:spacing w:lineRule="exact" w:line="455"/>
                      <w:jc w:val="end"/>
                      <w:rPr/>
                    </w:pPr>
                    <w:r>
                      <w:rPr/>
                      <w:t>1</w:t>
                    </w:r>
                  </w:p>
                  <w:p>
                    <w:pPr>
                      <w:pStyle w:val="Normal"/>
                      <w:spacing w:lineRule="exact" w:line="455"/>
                      <w:jc w:val="end"/>
                      <w:rPr/>
                    </w:pPr>
                    <w:r>
                      <w:rPr/>
                      <w:t>2</w:t>
                    </w:r>
                  </w:p>
                  <w:p>
                    <w:pPr>
                      <w:pStyle w:val="Normal"/>
                      <w:spacing w:lineRule="exact" w:line="455"/>
                      <w:jc w:val="end"/>
                      <w:rPr/>
                    </w:pPr>
                    <w:r>
                      <w:rPr/>
                      <w:t>3</w:t>
                    </w:r>
                  </w:p>
                  <w:p>
                    <w:pPr>
                      <w:pStyle w:val="Normal"/>
                      <w:spacing w:lineRule="exact" w:line="455"/>
                      <w:jc w:val="end"/>
                      <w:rPr/>
                    </w:pPr>
                    <w:r>
                      <w:rPr/>
                      <w:t>4</w:t>
                    </w:r>
                  </w:p>
                  <w:p>
                    <w:pPr>
                      <w:pStyle w:val="Normal"/>
                      <w:spacing w:lineRule="exact" w:line="455"/>
                      <w:jc w:val="end"/>
                      <w:rPr/>
                    </w:pPr>
                    <w:r>
                      <w:rPr/>
                      <w:t>5</w:t>
                    </w:r>
                  </w:p>
                  <w:p>
                    <w:pPr>
                      <w:pStyle w:val="Normal"/>
                      <w:spacing w:lineRule="exact" w:line="455"/>
                      <w:jc w:val="end"/>
                      <w:rPr/>
                    </w:pPr>
                    <w:r>
                      <w:rPr/>
                      <w:t>6</w:t>
                    </w:r>
                  </w:p>
                  <w:p>
                    <w:pPr>
                      <w:pStyle w:val="Normal"/>
                      <w:spacing w:lineRule="exact" w:line="455"/>
                      <w:jc w:val="end"/>
                      <w:rPr/>
                    </w:pPr>
                    <w:r>
                      <w:rPr/>
                      <w:t>7</w:t>
                    </w:r>
                  </w:p>
                  <w:p>
                    <w:pPr>
                      <w:pStyle w:val="Normal"/>
                      <w:spacing w:lineRule="exact" w:line="455"/>
                      <w:jc w:val="end"/>
                      <w:rPr/>
                    </w:pPr>
                    <w:r>
                      <w:rPr/>
                      <w:t>8</w:t>
                    </w:r>
                  </w:p>
                  <w:p>
                    <w:pPr>
                      <w:pStyle w:val="Normal"/>
                      <w:spacing w:lineRule="exact" w:line="455"/>
                      <w:jc w:val="end"/>
                      <w:rPr/>
                    </w:pPr>
                    <w:r>
                      <w:rPr/>
                      <w:t>9</w:t>
                    </w:r>
                  </w:p>
                  <w:p>
                    <w:pPr>
                      <w:pStyle w:val="Normal"/>
                      <w:spacing w:lineRule="exact" w:line="455"/>
                      <w:jc w:val="end"/>
                      <w:rPr/>
                    </w:pPr>
                    <w:r>
                      <w:rPr/>
                      <w:t>10</w:t>
                    </w:r>
                  </w:p>
                  <w:p>
                    <w:pPr>
                      <w:pStyle w:val="Normal"/>
                      <w:spacing w:lineRule="exact" w:line="455"/>
                      <w:jc w:val="end"/>
                      <w:rPr/>
                    </w:pPr>
                    <w:r>
                      <w:rPr/>
                      <w:t>11</w:t>
                    </w:r>
                  </w:p>
                  <w:p>
                    <w:pPr>
                      <w:pStyle w:val="Normal"/>
                      <w:spacing w:lineRule="exact" w:line="455"/>
                      <w:jc w:val="end"/>
                      <w:rPr/>
                    </w:pPr>
                    <w:r>
                      <w:rPr/>
                      <w:t>12</w:t>
                    </w:r>
                  </w:p>
                  <w:p>
                    <w:pPr>
                      <w:pStyle w:val="Normal"/>
                      <w:spacing w:lineRule="exact" w:line="455"/>
                      <w:jc w:val="end"/>
                      <w:rPr/>
                    </w:pPr>
                    <w:r>
                      <w:rPr/>
                      <w:t>13</w:t>
                    </w:r>
                  </w:p>
                  <w:p>
                    <w:pPr>
                      <w:pStyle w:val="Normal"/>
                      <w:spacing w:lineRule="exact" w:line="455"/>
                      <w:jc w:val="end"/>
                      <w:rPr/>
                    </w:pPr>
                    <w:r>
                      <w:rPr/>
                      <w:t>14</w:t>
                    </w:r>
                  </w:p>
                  <w:p>
                    <w:pPr>
                      <w:pStyle w:val="Normal"/>
                      <w:spacing w:lineRule="exact" w:line="455"/>
                      <w:jc w:val="end"/>
                      <w:rPr/>
                    </w:pPr>
                    <w:r>
                      <w:rPr/>
                      <w:t>15</w:t>
                    </w:r>
                  </w:p>
                  <w:p>
                    <w:pPr>
                      <w:pStyle w:val="Normal"/>
                      <w:spacing w:lineRule="exact" w:line="455"/>
                      <w:jc w:val="end"/>
                      <w:rPr/>
                    </w:pPr>
                    <w:r>
                      <w:rPr/>
                      <w:t>16</w:t>
                    </w:r>
                  </w:p>
                  <w:p>
                    <w:pPr>
                      <w:pStyle w:val="Normal"/>
                      <w:spacing w:lineRule="exact" w:line="455"/>
                      <w:jc w:val="end"/>
                      <w:rPr/>
                    </w:pPr>
                    <w:r>
                      <w:rPr/>
                      <w:t>17</w:t>
                    </w:r>
                  </w:p>
                  <w:p>
                    <w:pPr>
                      <w:pStyle w:val="Normal"/>
                      <w:spacing w:lineRule="exact" w:line="455"/>
                      <w:jc w:val="end"/>
                      <w:rPr/>
                    </w:pPr>
                    <w:r>
                      <w:rPr/>
                      <w:t>18</w:t>
                    </w:r>
                  </w:p>
                  <w:p>
                    <w:pPr>
                      <w:pStyle w:val="Normal"/>
                      <w:spacing w:lineRule="exact" w:line="455"/>
                      <w:jc w:val="end"/>
                      <w:rPr/>
                    </w:pPr>
                    <w:r>
                      <w:rPr/>
                      <w:t>19</w:t>
                    </w:r>
                  </w:p>
                  <w:p>
                    <w:pPr>
                      <w:pStyle w:val="Normal"/>
                      <w:spacing w:lineRule="exact" w:line="455"/>
                      <w:jc w:val="end"/>
                      <w:rPr/>
                    </w:pPr>
                    <w:r>
                      <w:rPr/>
                      <w:t>20</w:t>
                    </w:r>
                  </w:p>
                  <w:p>
                    <w:pPr>
                      <w:pStyle w:val="Normal"/>
                      <w:spacing w:lineRule="exact" w:line="455"/>
                      <w:jc w:val="end"/>
                      <w:rPr/>
                    </w:pPr>
                    <w:r>
                      <w:rPr/>
                      <w:t>21</w:t>
                    </w:r>
                  </w:p>
                  <w:p>
                    <w:pPr>
                      <w:pStyle w:val="Normal"/>
                      <w:spacing w:lineRule="exact" w:line="455"/>
                      <w:jc w:val="end"/>
                      <w:rPr/>
                    </w:pPr>
                    <w:r>
                      <w:rPr/>
                      <w:t>22</w:t>
                    </w:r>
                  </w:p>
                  <w:p>
                    <w:pPr>
                      <w:pStyle w:val="Normal"/>
                      <w:spacing w:lineRule="exact" w:line="455"/>
                      <w:jc w:val="end"/>
                      <w:rPr/>
                    </w:pPr>
                    <w:r>
                      <w:rPr/>
                      <w:t>23</w:t>
                    </w:r>
                  </w:p>
                  <w:p>
                    <w:pPr>
                      <w:pStyle w:val="Normal"/>
                      <w:spacing w:lineRule="exact" w:line="455"/>
                      <w:jc w:val="end"/>
                      <w:rPr/>
                    </w:pPr>
                    <w:r>
                      <w:rPr/>
                      <w:t>24</w:t>
                    </w:r>
                  </w:p>
                  <w:p>
                    <w:pPr>
                      <w:pStyle w:val="Normal"/>
                      <w:spacing w:lineRule="exact" w:line="455"/>
                      <w:jc w:val="end"/>
                      <w:rPr/>
                    </w:pPr>
                    <w:r>
                      <w:rPr/>
                      <w:t>25</w:t>
                    </w:r>
                  </w:p>
                  <w:p>
                    <w:pPr>
                      <w:pStyle w:val="Normal"/>
                      <w:spacing w:lineRule="exact" w:line="455"/>
                      <w:jc w:val="end"/>
                      <w:rPr/>
                    </w:pPr>
                    <w:r>
                      <w:rPr/>
                      <w:t>26</w:t>
                    </w:r>
                  </w:p>
                  <w:p>
                    <w:pPr>
                      <w:pStyle w:val="Normal"/>
                      <w:spacing w:lineRule="exact" w:line="455"/>
                      <w:jc w:val="end"/>
                      <w:rPr/>
                    </w:pPr>
                    <w:r>
                      <w:rPr/>
                      <w:t>27</w:t>
                    </w:r>
                  </w:p>
                  <w:p>
                    <w:pPr>
                      <w:pStyle w:val="Normal"/>
                      <w:spacing w:lineRule="exact" w:line="455"/>
                      <w:jc w:val="end"/>
                      <w:rPr/>
                    </w:pPr>
                    <w:r>
                      <w:rPr/>
                      <w:t>28</w:t>
                    </w:r>
                  </w:p>
                  <w:p>
                    <w:pPr>
                      <w:pStyle w:val="Normal"/>
                      <w:spacing w:lineRule="exact" w:line="455"/>
                      <w:jc w:val="end"/>
                      <w:rPr/>
                    </w:pPr>
                    <w:r>
                      <w:rPr/>
                    </w:r>
                  </w:p>
                </w:txbxContent>
              </v:textbox>
              <w10:wrap type="none"/>
            </v:rect>
          </w:pict>
        </mc:Fallback>
      </mc:AlternateContent>
    </w:r>
    <w:r>
      <mc:AlternateContent>
        <mc:Choice Requires="wps">
          <w:drawing>
            <wp:anchor behindDoc="1" distT="0" distB="0" distL="114935" distR="114935" simplePos="0" locked="0" layoutInCell="0" allowOverlap="1" relativeHeight="25">
              <wp:simplePos x="0" y="0"/>
              <wp:positionH relativeFrom="margin">
                <wp:posOffset>-45720</wp:posOffset>
              </wp:positionH>
              <wp:positionV relativeFrom="page">
                <wp:posOffset>0</wp:posOffset>
              </wp:positionV>
              <wp:extent cx="0" cy="10058400"/>
              <wp:effectExtent l="5080" t="0" r="5080" b="0"/>
              <wp:wrapNone/>
              <wp:docPr id="9" name="LeftBorder1"/>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0pt" to="-3.6pt,791.95pt" ID="LeftBorder1"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33">
              <wp:simplePos x="0" y="0"/>
              <wp:positionH relativeFrom="margin">
                <wp:posOffset>-91440</wp:posOffset>
              </wp:positionH>
              <wp:positionV relativeFrom="page">
                <wp:posOffset>0</wp:posOffset>
              </wp:positionV>
              <wp:extent cx="0" cy="10058400"/>
              <wp:effectExtent l="5080" t="0" r="5080" b="0"/>
              <wp:wrapNone/>
              <wp:docPr id="10" name="LeftBorder2"/>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0pt" to="-7.2pt,791.95pt" ID="LeftBorder2"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41">
              <wp:simplePos x="0" y="0"/>
              <wp:positionH relativeFrom="margin">
                <wp:posOffset>6492240</wp:posOffset>
              </wp:positionH>
              <wp:positionV relativeFrom="page">
                <wp:posOffset>91440</wp:posOffset>
              </wp:positionV>
              <wp:extent cx="0" cy="10058400"/>
              <wp:effectExtent l="5080" t="0" r="5080" b="0"/>
              <wp:wrapNone/>
              <wp:docPr id="11" name="RightBorder"/>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11.2pt,7.2pt" to="511.2pt,799.15pt" ID="RightBorder" stroked="t" o:allowincell="f" style="position:absolute;mso-position-horizontal-relative:margin;mso-position-vertical-relative:page">
              <v:stroke color="black" weight="936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440"/>
        </w:tabs>
        <w:ind w:start="0" w:firstLine="72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Vars>
    <w:docVar w:name="AttorneyName" w:val="-1"/>
    <w:docVar w:name="CaptionBoxStyle" w:val="0"/>
    <w:docVar w:name="CourtAlignment" w:val="0"/>
    <w:docVar w:name="CourtName" w:val="~"/>
    <w:docVar w:name="FirmInFtr" w:val="0"/>
    <w:docVar w:name="FirmInSigBlkStyle" w:val="0"/>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widowControl w:val="false"/>
      <w:numPr>
        <w:ilvl w:val="0"/>
        <w:numId w:val="1"/>
      </w:numPr>
      <w:spacing w:lineRule="exact" w:line="480"/>
      <w:jc w:val="both"/>
      <w:outlineLvl w:val="0"/>
    </w:pPr>
    <w:rPr>
      <w:lang w:eastAsia="en-U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Times New Roman" w:hAnsi="Times New Roman" w:cs="Times New Roman"/>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REQ">
    <w:name w:val="__DOC REQ #"/>
    <w:basedOn w:val="Normal"/>
    <w:next w:val="Normal"/>
    <w:qFormat/>
    <w:pPr>
      <w:keepNext w:val="true"/>
      <w:widowControl w:val="false"/>
      <w:spacing w:lineRule="exact" w:line="456"/>
    </w:pPr>
    <w:rPr>
      <w:b/>
      <w:u w:val="single"/>
      <w:lang w:eastAsia="en-US"/>
    </w:rPr>
  </w:style>
  <w:style w:type="paragraph" w:styleId="Text2sp1stLtab">
    <w:name w:val="__Text 2sp 1stL tab"/>
    <w:basedOn w:val="Normal"/>
    <w:qFormat/>
    <w:pPr>
      <w:spacing w:lineRule="exact" w:line="456"/>
      <w:ind w:firstLine="720" w:start="0" w:end="0"/>
    </w:pPr>
    <w:rPr>
      <w:lang w:eastAsia="en-US"/>
    </w:rPr>
  </w:style>
  <w:style w:type="paragraph" w:styleId="BodyTextIndent">
    <w:name w:val="Body Text Indent"/>
    <w:basedOn w:val="Normal"/>
    <w:pPr>
      <w:spacing w:before="0" w:after="120"/>
      <w:ind w:hanging="0" w:start="360" w:end="0"/>
    </w:pPr>
    <w:rPr/>
  </w:style>
  <w:style w:type="paragraph" w:styleId="Pleadingtext2SP">
    <w:name w:val="_Pleading text 2SP"/>
    <w:basedOn w:val="BodyTextIndent"/>
    <w:qFormat/>
    <w:pPr>
      <w:spacing w:lineRule="exact" w:line="455" w:before="0" w:after="0"/>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SF Pleading</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2001-08-14T20:35:00Z</dcterms:created>
  <dc:creator>Donna Karbach</dc:creator>
  <dc:description/>
  <cp:keywords>SF 158966.1 02618 00125</cp:keywords>
  <dc:language>en-CA</dc:language>
  <cp:lastModifiedBy>Donna Karbach</cp:lastModifiedBy>
  <cp:lastPrinted>2001-08-14T16:20:00Z</cp:lastPrinted>
  <dcterms:modified xsi:type="dcterms:W3CDTF">2001-08-14T20:52:00Z</dcterms:modified>
  <cp:revision>7</cp:revision>
  <dc:subject/>
  <dc:title>Pleading</dc:title>
</cp:coreProperties>
</file>