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72" w:type="dxa"/>
        <w:jc w:val="start"/>
        <w:tblInd w:w="0" w:type="dxa"/>
        <w:tblLayout w:type="fixed"/>
        <w:tblCellMar>
          <w:top w:w="0" w:type="dxa"/>
          <w:start w:w="108" w:type="dxa"/>
          <w:bottom w:w="0" w:type="dxa"/>
          <w:end w:w="108" w:type="dxa"/>
        </w:tblCellMar>
      </w:tblPr>
      <w:tblGrid>
        <w:gridCol w:w="6192"/>
        <w:gridCol w:w="3480"/>
      </w:tblGrid>
      <w:tr>
        <w:trPr>
          <w:trHeight w:val="3140" w:hRule="atLeast"/>
        </w:trPr>
        <w:tc>
          <w:tcPr>
            <w:tcW w:w="6192" w:type="dxa"/>
            <w:tcBorders/>
          </w:tcPr>
          <w:p>
            <w:pPr>
              <w:pStyle w:val="Normal"/>
              <w:ind w:end="144"/>
              <w:rPr/>
            </w:pPr>
            <w:r>
              <w:rPr/>
              <w:t xml:space="preserve">Original Draft prepared by </w:t>
            </w:r>
          </w:p>
          <w:p>
            <w:pPr>
              <w:pStyle w:val="Normal"/>
              <w:ind w:end="144"/>
              <w:rPr/>
            </w:pPr>
            <w:r>
              <w:rPr/>
              <w:t>Brian Currey at O’Melveny &amp; Myers;</w:t>
            </w:r>
          </w:p>
          <w:p>
            <w:pPr>
              <w:pStyle w:val="Normal"/>
              <w:ind w:end="144"/>
              <w:rPr/>
            </w:pPr>
            <w:r>
              <w:rPr/>
              <w:t>substitute name of counsel of record]</w:t>
            </w:r>
          </w:p>
        </w:tc>
        <w:tc>
          <w:tcPr>
            <w:tcW w:w="3480" w:type="dxa"/>
            <w:tcBorders/>
          </w:tcPr>
          <w:p>
            <w:pPr>
              <w:pStyle w:val="Normal"/>
              <w:snapToGrid w:val="false"/>
              <w:ind w:start="113" w:end="113"/>
              <w:rPr/>
            </w:pPr>
            <w:r>
              <w:rPr/>
            </w:r>
          </w:p>
        </w:tc>
      </w:tr>
    </w:tbl>
    <w:p>
      <w:pPr>
        <w:pStyle w:val="Normal"/>
        <w:spacing w:lineRule="exact" w:line="480" w:before="280" w:after="660"/>
        <w:jc w:val="center"/>
        <w:rPr/>
      </w:pPr>
      <w:r>
        <w:rPr/>
        <w:t>UNITED STATES DISTRICT COURT</w:t>
        <w:br/>
        <w:t>CENTRAL DISTRICT OF CALIFORNIA</w:t>
      </w:r>
    </w:p>
    <w:tbl>
      <w:tblPr>
        <w:tblW w:w="9672" w:type="dxa"/>
        <w:jc w:val="start"/>
        <w:tblInd w:w="0" w:type="dxa"/>
        <w:tblLayout w:type="fixed"/>
        <w:tblCellMar>
          <w:top w:w="0" w:type="dxa"/>
          <w:start w:w="108" w:type="dxa"/>
          <w:bottom w:w="0" w:type="dxa"/>
          <w:end w:w="108" w:type="dxa"/>
        </w:tblCellMar>
      </w:tblPr>
      <w:tblGrid>
        <w:gridCol w:w="4680"/>
        <w:gridCol w:w="4992"/>
      </w:tblGrid>
      <w:tr>
        <w:trPr/>
        <w:tc>
          <w:tcPr>
            <w:tcW w:w="4680" w:type="dxa"/>
            <w:tcBorders>
              <w:bottom w:val="single" w:sz="4" w:space="0" w:color="000000"/>
              <w:end w:val="single" w:sz="4" w:space="0" w:color="000000"/>
            </w:tcBorders>
          </w:tcPr>
          <w:p>
            <w:pPr>
              <w:pStyle w:val="Normal"/>
              <w:snapToGrid w:val="false"/>
              <w:spacing w:before="0" w:after="240"/>
              <w:rPr/>
            </w:pPr>
            <w:r>
              <w:rPr/>
            </w:r>
          </w:p>
          <w:p>
            <w:pPr>
              <w:pStyle w:val="Normal"/>
              <w:spacing w:before="0" w:after="240"/>
              <w:ind w:start="2160" w:end="144"/>
              <w:rPr/>
            </w:pPr>
            <w:r>
              <w:rPr/>
              <w:t>Plaintiff,</w:t>
            </w:r>
          </w:p>
          <w:p>
            <w:pPr>
              <w:pStyle w:val="Normal"/>
              <w:spacing w:before="0" w:after="240"/>
              <w:ind w:start="1440" w:end="144"/>
              <w:rPr/>
            </w:pPr>
            <w:r>
              <w:rPr/>
              <w:t>v.</w:t>
            </w:r>
          </w:p>
          <w:p>
            <w:pPr>
              <w:pStyle w:val="Normal"/>
              <w:spacing w:before="0" w:after="240"/>
              <w:ind w:end="144"/>
              <w:rPr/>
            </w:pPr>
            <w:r>
              <w:rPr/>
              <w:t>THE CALIFORNIA POWER EXCHANGE,</w:t>
            </w:r>
          </w:p>
          <w:p>
            <w:pPr>
              <w:pStyle w:val="Normal"/>
              <w:spacing w:before="0" w:after="240"/>
              <w:ind w:start="2160" w:end="144"/>
              <w:rPr/>
            </w:pPr>
            <w:r>
              <w:rPr/>
              <w:t>Defendant.</w:t>
            </w:r>
          </w:p>
        </w:tc>
        <w:tc>
          <w:tcPr>
            <w:tcW w:w="4992" w:type="dxa"/>
            <w:tcBorders/>
          </w:tcPr>
          <w:p>
            <w:pPr>
              <w:pStyle w:val="Normal"/>
              <w:tabs>
                <w:tab w:val="clear" w:pos="720"/>
                <w:tab w:val="left" w:pos="1242" w:leader="none"/>
              </w:tabs>
              <w:spacing w:before="0" w:after="240"/>
              <w:ind w:start="259" w:end="115"/>
              <w:rPr/>
            </w:pPr>
            <w:r>
              <w:rPr/>
              <w:t xml:space="preserve">Case No. </w:t>
            </w:r>
          </w:p>
          <w:p>
            <w:pPr>
              <w:pStyle w:val="Normal"/>
              <w:tabs>
                <w:tab w:val="clear" w:pos="720"/>
                <w:tab w:val="left" w:pos="1242" w:leader="none"/>
              </w:tabs>
              <w:spacing w:before="0" w:after="240"/>
              <w:ind w:start="259" w:end="115"/>
              <w:rPr>
                <w:b/>
              </w:rPr>
            </w:pPr>
            <w:r>
              <w:rPr>
                <w:b/>
              </w:rPr>
              <w:t>COMPLAINT FOR DECLARATORY AND INJUNCTIVE RELIEF</w:t>
            </w:r>
          </w:p>
          <w:p>
            <w:pPr>
              <w:pStyle w:val="Normal"/>
              <w:ind w:hanging="2117" w:start="2376" w:end="115"/>
              <w:rPr>
                <w:b/>
              </w:rPr>
            </w:pPr>
            <w:r>
              <w:rPr>
                <w:b/>
              </w:rPr>
            </w:r>
            <w:bookmarkStart w:id="0" w:name="mpDateTimeInfo"/>
            <w:bookmarkStart w:id="1" w:name="mpDateTimeInfo"/>
            <w:bookmarkEnd w:id="1"/>
          </w:p>
        </w:tc>
      </w:tr>
    </w:tbl>
    <w:p>
      <w:pPr>
        <w:pStyle w:val="BodyText"/>
        <w:spacing w:before="240" w:after="0"/>
        <w:rPr/>
      </w:pPr>
      <w:r>
        <w:rPr/>
        <w:t>Plaintiff  alleges:</w:t>
      </w:r>
    </w:p>
    <w:p>
      <w:pPr>
        <w:pStyle w:val="BodyText"/>
        <w:ind w:hanging="0" w:end="0"/>
        <w:jc w:val="center"/>
        <w:rPr>
          <w:b/>
        </w:rPr>
      </w:pPr>
      <w:r>
        <w:rPr>
          <w:b/>
        </w:rPr>
        <w:t>JURISDICTION AND VENUE</w:t>
      </w:r>
    </w:p>
    <w:p>
      <w:pPr>
        <w:pStyle w:val="Normal"/>
        <w:widowControl/>
        <w:tabs>
          <w:tab w:val="clear" w:pos="720"/>
          <w:tab w:val="left" w:pos="650" w:leader="none"/>
        </w:tabs>
        <w:spacing w:lineRule="exact" w:line="480"/>
        <w:ind w:firstLine="1440" w:end="0"/>
        <w:rPr/>
      </w:pPr>
      <w:r>
        <w:rPr/>
        <w:t>1.</w:t>
        <w:tab/>
        <w:t xml:space="preserve">This court has jurisdiction over the parties and the subject matter of this litigation under Section 317 of the Federal Power Act, 16 U.S.C. § 825p, which gives the federal district courts "exclusive jurisdiction . . . of all suits in equity and actions at law brought to enforce any liability or duty created by, or to enjoin any violation of, [the Federal Power Act, 16 U.S.C. § 824 </w:t>
      </w:r>
      <w:r>
        <w:rPr>
          <w:u w:val="single"/>
        </w:rPr>
        <w:t>et seq.</w:t>
      </w:r>
      <w:r>
        <w:rPr/>
        <w:t>] or any rule, regulation or order thereunder," under 28 U.S.C. § 1331, which gives the federal district courts, "original jurisdiction of all civil actions arising under the . . . laws . . . of the United States” and 28 U.S.C. § 1332.  This is a complaint for declaratory and injunctive relief resulting from extraordinary intervening circumstances in the California wholesale electrical market which render Tariffs filed with and approved by the Federal Energy Regulatory Commission (“FERC”) inapplicable or having been violated by the California Power Exchange Corporation (“CalPX”).   This Complaint necessarily depends on resolution of substantial questions and constructions of federal law.  This suit is between citizens of different States and the matter in controversy exceeds the sum or value of $75,000</w:t>
      </w:r>
      <w:r>
        <w:rPr>
          <w:b/>
        </w:rPr>
        <w:t>.</w:t>
      </w:r>
    </w:p>
    <w:p>
      <w:pPr>
        <w:pStyle w:val="BodyText"/>
        <w:ind w:firstLine="720" w:start="720" w:end="0"/>
        <w:rPr/>
      </w:pPr>
      <w:r>
        <w:rPr/>
        <w:t>2.</w:t>
        <w:tab/>
        <w:t>Declaratory and injunctive relief is authorized by 28 U.S.C. §§ 2201 and 2202.</w:t>
      </w:r>
    </w:p>
    <w:p>
      <w:pPr>
        <w:pStyle w:val="BodyText"/>
        <w:ind w:firstLine="1430" w:end="0"/>
        <w:rPr/>
      </w:pPr>
      <w:r>
        <w:rPr/>
        <w:t>3.</w:t>
        <w:tab/>
        <w:t>Venue is proper in this district pursuant to 28 U.S.C. § 1391(b) because a substantial part of the events or omissions giving rise to the claims occurred in this district.</w:t>
      </w:r>
    </w:p>
    <w:p>
      <w:pPr>
        <w:pStyle w:val="BodyText"/>
        <w:ind w:hanging="0" w:end="0"/>
        <w:jc w:val="center"/>
        <w:rPr>
          <w:b/>
        </w:rPr>
      </w:pPr>
      <w:r>
        <w:rPr>
          <w:b/>
        </w:rPr>
        <w:t>PARTIES</w:t>
      </w:r>
    </w:p>
    <w:p>
      <w:pPr>
        <w:pStyle w:val="BodyText"/>
        <w:ind w:firstLine="720" w:start="720" w:end="0"/>
        <w:rPr/>
      </w:pPr>
      <w:r>
        <w:rPr/>
        <w:t>4.</w:t>
        <w:tab/>
        <w:t>Plaintiff ------</w:t>
      </w:r>
    </w:p>
    <w:p>
      <w:pPr>
        <w:pStyle w:val="BodyText"/>
        <w:rPr/>
      </w:pPr>
      <w:r>
        <w:rPr/>
        <w:t>5.</w:t>
        <w:tab/>
        <w:t>Defendant The California Power Exchange Corporation is a nonprofit corporation, incorporated under the laws of the State of California for the primary purpose of providing an electrical energy market for “day-ahead” and “hour</w:t>
        <w:noBreakHyphen/>
        <w:t>ahead” electricity to all suppliers and purchasers of electrical energy in California (“Core Market”).  Until recently, the CalPX operated the day-ahead and hour-ahead markets for electrical energy in California.  The CalPX also acts as Scheduling Coordinator with the California Independent Systems Operator Corporation (the “ISO”) on behalf of certain CalPX Participants for purchases of Imbalance Energy in the Real Time Market.  CalPX also operates a market for trading the delivery of electricity in the future (“CTS Market”).  On information and belief, the CalPX is a non-profit corporation without substantial assets and has effectively ceased operations.</w:t>
      </w:r>
    </w:p>
    <w:p>
      <w:pPr>
        <w:pStyle w:val="BodyText"/>
        <w:ind w:hanging="0" w:end="0"/>
        <w:jc w:val="center"/>
        <w:rPr>
          <w:b/>
        </w:rPr>
      </w:pPr>
      <w:r>
        <w:rPr>
          <w:b/>
        </w:rPr>
        <w:t>SUMMARY OF ALLEGATIONS</w:t>
      </w:r>
    </w:p>
    <w:p>
      <w:pPr>
        <w:pStyle w:val="BodyText"/>
        <w:ind w:firstLine="1430" w:end="0"/>
        <w:rPr/>
      </w:pPr>
      <w:r>
        <w:rPr/>
        <w:t>6.</w:t>
        <w:tab/>
        <w:t>When California partially deregulated the market for electric energy in March 1998, the ISO became the manager of most of the state’s power grid.  California’s power grid is a network of long-distance, high-voltage transmission lines and substations that carry bulk electricity to local utilities for distribution to their customers.  ISO is a not-for-profit public benefit corporation.</w:t>
      </w:r>
    </w:p>
    <w:p>
      <w:pPr>
        <w:pStyle w:val="BodyText"/>
        <w:ind w:firstLine="1430" w:end="0"/>
        <w:rPr/>
      </w:pPr>
      <w:r>
        <w:rPr/>
        <w:t>7.</w:t>
        <w:tab/>
        <w:t>Along with operating the power grid, the ISO acts as a clearinghouse for energy transactions in the final hours before energy is consumed.  The highest volume of ISO energy trading is through what is called the Real-Time Imbalance Market.  This is a spot market for electrical power, and is available for both in-state and out-of-state participants where trades are made across the western United States.  It allows the ISO to rectify imbalances in electricity supply and demand on a “real time” basis.  The ISO makes adjustments in power deliveries second-by-second to match changes in California’s demand for power at any given time.  Market traders, using “Scheduling Coordinators,” either receive payment for extra generation they supply or are billed for the extra energy they need.</w:t>
      </w:r>
    </w:p>
    <w:p>
      <w:pPr>
        <w:pStyle w:val="BodyText"/>
        <w:ind w:firstLine="1430" w:end="0"/>
        <w:rPr/>
      </w:pPr>
      <w:r>
        <w:rPr/>
        <w:t>8.</w:t>
        <w:tab/>
        <w:t>The ISO is responsible for calculating, accounting for and settling Imbalance Energy in the Real Time Market within the ISO controlled grid.  All Scheduling Coordinators are required to discharge their obligations to pay the amounts owed by them and will receive payments of all amounts owed to them only through the ISO.</w:t>
        <w:tab/>
      </w:r>
    </w:p>
    <w:p>
      <w:pPr>
        <w:pStyle w:val="BodyText"/>
        <w:ind w:firstLine="1430" w:end="0"/>
        <w:rPr/>
      </w:pPr>
      <w:r>
        <w:rPr/>
        <w:t>9.</w:t>
        <w:tab/>
        <w:t>The largest purchases of energy in the Imbalance Energy in the Real Time Market within the ISO have been Southern California Edison (“Edison”) and Pacific Gas &amp; Electric Company (“PG&amp;E”).  As California’s power crisis worsened, and the financial condition of those two utilities deteriorated, they bought increased amounts of electricity through the ISO Real Time Imbalance Market.  On information and belief, they did so because they were suffering from serious liquidity problems.  They preferred this market because payment would not immediately become due.  The ISO bills the CalPX as Scheduling Coordinator for purchases made on behalf of Edison and PG&amp;E.  They both employed the CalPX to act as their respective Scheduling Coordinators with the ISO.</w:t>
      </w:r>
    </w:p>
    <w:p>
      <w:pPr>
        <w:pStyle w:val="BodyText"/>
        <w:ind w:firstLine="1430" w:end="0"/>
        <w:rPr/>
      </w:pPr>
      <w:r>
        <w:rPr/>
        <w:t>10.</w:t>
        <w:tab/>
        <w:t xml:space="preserve">As of January 31, 2001, CalPX ceased to operate the Core Market.  </w:t>
      </w:r>
    </w:p>
    <w:p>
      <w:pPr>
        <w:pStyle w:val="BodyText"/>
        <w:ind w:firstLine="1430" w:end="0"/>
        <w:rPr/>
      </w:pPr>
      <w:r>
        <w:rPr/>
        <w:t>11.</w:t>
        <w:tab/>
        <w:t>On February 1, 2001, CalPX Participants that employ the CalPX as Scheduling Coordinator with the ISO were invoiced by the CalPX for purchases of Imbalance Energy in the Real Time Market.  Payments of these invoices would satisfy charges for Imbalance Energy from the ISO that “pass through” the CalPX to CalPX Participants.  Edison, PG&amp;E, and others have failed to pay the CalPX for their purchases.</w:t>
      </w:r>
    </w:p>
    <w:p>
      <w:pPr>
        <w:pStyle w:val="BodyText"/>
        <w:ind w:firstLine="1430" w:end="0"/>
        <w:rPr/>
      </w:pPr>
      <w:r>
        <w:rPr/>
        <w:t>13.</w:t>
        <w:tab/>
        <w:t xml:space="preserve">Plaintiffs are informed and believe that Edison, PG&amp;E and others have failed to pay for their electrical purchases through the Core Market. CalPX has stated its intention to invoice Participants to charge back the failure of Edison, PG&amp;E and others to pay for their electrical purchases through the Core Market. </w:t>
      </w:r>
    </w:p>
    <w:p>
      <w:pPr>
        <w:pStyle w:val="BodyText"/>
        <w:ind w:firstLine="1430" w:end="0"/>
        <w:rPr/>
      </w:pPr>
      <w:r>
        <w:rPr/>
        <w:t>14.</w:t>
        <w:tab/>
        <w:t>When Edison and PG&amp;E failed to pay the CalPX for their purchases, under the provisions of  Section 5.1 of Schedule 2 of the CalPX Tariff and Section 6.7.6 of CalPX Trading Services Rate Schedule FERC No. 1, CalPX  was entitled to liquidate Edison’s and PG&amp;E’s contracts to purchase electricity in the future in order to offset Edison’s and PG&amp;E’s failure to pay for their purchases described in paragraph 10 above.</w:t>
      </w:r>
    </w:p>
    <w:p>
      <w:pPr>
        <w:pStyle w:val="BodyText"/>
        <w:ind w:firstLine="1430" w:end="0"/>
        <w:rPr/>
      </w:pPr>
      <w:r>
        <w:rPr/>
        <w:t>15.</w:t>
        <w:tab/>
        <w:t xml:space="preserve">On February 1, 2001 the Governor of the State of California issued two Executive Orders D-20-1 and D-21-1 wherein the State of California commandeered Edison’s and PG&amp;E’s contracts to purchase electricity in the future before they could be liquidated by CalPX pursuant to the Tariff. </w:t>
      </w:r>
    </w:p>
    <w:p>
      <w:pPr>
        <w:pStyle w:val="BodyText"/>
        <w:ind w:firstLine="1430" w:end="0"/>
        <w:rPr/>
      </w:pPr>
      <w:r>
        <w:rPr/>
        <w:t>16.</w:t>
        <w:tab/>
        <w:t xml:space="preserve">Purporting to invoke Section 5.3 of Schedule 2 of the CalPX Tariff, the CalPX will submit an invoice to plaintiffs and demand that plaintiffs make payment as a “charge-back” to cover a portion of the shortfall created by the failure of Edison, PG&amp;E and others to pay their February 1, 2001, bills for purchases of Imbalance Energy in the Real Time Market and the inability of CalPX to liquidate Edison’s and PG&amp;E’s contracts to purchase electricity in the future..  The CalPX has no authority under the CalPX Tariff or otherwise to make this demand.  Indeed, the ISO FERC Electric Tariff effective October 13, 2000 (the “ISO Tariff”), and in particular Section 11.16.1 of that tariff, specifically provides that the shortfall is to be spread proportionately among ISO Creditors; </w:t>
      </w:r>
      <w:r>
        <w:rPr>
          <w:i/>
        </w:rPr>
        <w:t>i.e.</w:t>
      </w:r>
      <w:r>
        <w:rPr/>
        <w:t>, those parties that are owed money for Imbalance Energy transactions in the Real Time Market.</w:t>
      </w:r>
    </w:p>
    <w:p>
      <w:pPr>
        <w:pStyle w:val="BodyText"/>
        <w:ind w:firstLine="1430" w:end="0"/>
        <w:rPr/>
      </w:pPr>
      <w:r>
        <w:rPr/>
        <w:t>17.</w:t>
        <w:tab/>
        <w:t>On information and belief, unless enjoined by this Court, the CalPX will continue to submit invoices to plaintiff in the future as “charge-backs” to cover some or all of the unpaid obligations of Edison, PG&amp;E, and/or others for purchases of Imbalance Energy in the Real Time market as well as the failure to pay for electricity purchased in the Core Market.</w:t>
      </w:r>
    </w:p>
    <w:p>
      <w:pPr>
        <w:pStyle w:val="BodyText"/>
        <w:ind w:firstLine="1430" w:end="0"/>
        <w:rPr/>
      </w:pPr>
      <w:r>
        <w:rPr/>
        <w:t>18.</w:t>
        <w:tab/>
        <w:t xml:space="preserve">On February 5, 2001, CalPX ceased all of its scheduling coordination functions for all Participants.  CalPX has instructed Participants that the scheduling coordination function will be performed by the State of California, Department of Water Resources through a new entity known as CERS.  CalPX has instructed that the counterparty for transactions will by the State of California, Department of Water Resources.   </w:t>
      </w:r>
    </w:p>
    <w:p>
      <w:pPr>
        <w:pStyle w:val="BodyText"/>
        <w:ind w:firstLine="1430" w:end="0"/>
        <w:rPr/>
      </w:pPr>
      <w:r>
        <w:rPr/>
        <w:t>19.</w:t>
        <w:tab/>
        <w:t>Plaintiffs are informed and believe that CalPX has begun the process of auctioning its furniture, computer equipment and other physical assets.  Plaintiffs are informed and believe that the Chief Operations Officer of  CalPX has resigned; that other key personnel are searching for new jobs and are in the process of leaving.</w:t>
      </w:r>
    </w:p>
    <w:p>
      <w:pPr>
        <w:pStyle w:val="BodyText"/>
        <w:ind w:firstLine="1430" w:end="0"/>
        <w:rPr/>
      </w:pPr>
      <w:r>
        <w:rPr/>
        <w:t>20.</w:t>
        <w:tab/>
        <w:t xml:space="preserve">Plaintiffs estimate that CalPX currently has letters of credit in excess of $500,000,000 and potentially cash collateral of between $50,000,000 and $100,000,000.  </w:t>
      </w:r>
    </w:p>
    <w:p>
      <w:pPr>
        <w:pStyle w:val="BodyText"/>
        <w:ind w:hanging="0" w:end="0"/>
        <w:jc w:val="center"/>
        <w:rPr>
          <w:b/>
        </w:rPr>
      </w:pPr>
      <w:r>
        <w:rPr>
          <w:b/>
        </w:rPr>
        <w:t>PLANTIFFS HAVE NO ADEQUATE LEGAL REMEDY</w:t>
      </w:r>
    </w:p>
    <w:p>
      <w:pPr>
        <w:pStyle w:val="BodyText"/>
        <w:ind w:firstLine="1430" w:end="0"/>
        <w:rPr/>
      </w:pPr>
      <w:r>
        <w:rPr/>
        <w:t>21.</w:t>
        <w:tab/>
        <w:t>Plaintiffs are entitled to injunctive relief.  It has no adequate remedy at law.  The CalPX is non-profit corporation without substantial assets, and there is no prospect that plaintiffs ever will be able to recover any wrongfully induced payment that it makes to the CalPX.  The CalPX is no longer functioning as it was intended – it is not functioning at all.</w:t>
      </w:r>
    </w:p>
    <w:p>
      <w:pPr>
        <w:pStyle w:val="BodyText"/>
        <w:ind w:firstLine="1430" w:end="0"/>
        <w:rPr/>
      </w:pPr>
      <w:r>
        <w:rPr/>
        <w:t>22.</w:t>
        <w:tab/>
        <w:t>If plaintiffs do not  pay the invoice, the CalPX will improperly draw down on letters of credit posted by plaintiffs as collateral for its own obligations, not the unpaid obligations of Edison, PG&amp;E and others.  Plaintiffs will be required to reimburse the issuing banks, and will have no adequate legal remedy.</w:t>
      </w:r>
    </w:p>
    <w:p>
      <w:pPr>
        <w:pStyle w:val="BodyText"/>
        <w:ind w:firstLine="1430" w:end="0"/>
        <w:rPr/>
      </w:pPr>
      <w:r>
        <w:rPr/>
        <w:t>23.</w:t>
        <w:tab/>
        <w:t>Plaintiffs are likely to succeed on the merits of their claim and will suffer immediate irreparable harm unless an injunction is granted.  The balance of hardships weighs in favor of plaintiffs, as does the public interest.</w:t>
      </w:r>
    </w:p>
    <w:p>
      <w:pPr>
        <w:pStyle w:val="BodyText"/>
        <w:ind w:hanging="0" w:end="0"/>
        <w:jc w:val="center"/>
        <w:rPr>
          <w:b/>
        </w:rPr>
      </w:pPr>
      <w:r>
        <w:rPr>
          <w:b/>
        </w:rPr>
        <w:t>CLAIM FOR RELIEF</w:t>
      </w:r>
    </w:p>
    <w:p>
      <w:pPr>
        <w:pStyle w:val="BodyText"/>
        <w:ind w:hanging="0" w:end="0"/>
        <w:jc w:val="center"/>
        <w:rPr>
          <w:b/>
        </w:rPr>
      </w:pPr>
      <w:r>
        <w:rPr>
          <w:b/>
        </w:rPr>
        <w:t>(Declaratory Judgment)</w:t>
      </w:r>
    </w:p>
    <w:p>
      <w:pPr>
        <w:pStyle w:val="BodyText"/>
        <w:ind w:firstLine="1430" w:end="0"/>
        <w:rPr/>
      </w:pPr>
      <w:r>
        <w:rPr/>
        <w:t>24.</w:t>
        <w:tab/>
        <w:t xml:space="preserve">Plaintiffs incorporate paragraphs 1 through 23 inclusive, as if fully setforth herein. </w:t>
      </w:r>
    </w:p>
    <w:p>
      <w:pPr>
        <w:pStyle w:val="BodyText"/>
        <w:ind w:firstLine="1430" w:end="0"/>
        <w:rPr/>
      </w:pPr>
      <w:r>
        <w:rPr/>
        <w:t>25.</w:t>
        <w:tab/>
        <w:t>Plaintiffs seek a declaration that the CalPX,  acting as Scheduling Coordinator, lacks authority to bill plaintiffs for the failure of other CalPX Participants to pay for Imbalance Energy purchased from the ISO in the Real Time Market, and that plaintiffs are not obligated to make any payment for amounts owed for such purchases.</w:t>
      </w:r>
    </w:p>
    <w:p>
      <w:pPr>
        <w:pStyle w:val="BodyText"/>
        <w:ind w:firstLine="1430" w:end="0"/>
        <w:rPr/>
      </w:pPr>
      <w:r>
        <w:rPr/>
        <w:t>26.</w:t>
        <w:tab/>
        <w:t>This claim presents an actual case or controversy.  The CalPX has made clear that it will submit invoices to Participants for the failure of other electricity purchasers to pay their Imbalance Energy bills.  The controversy is definite and concrete:  the CalPX claims that it may submit an invoice to Participants  to cover other CalPX Participants’ non-payments for Imbalance Energy; Plaintiffs Trading dispute that claim on the ground that the CalPX lacks authority to submit such an invoice.  A declaration by this Court will be conclusive.</w:t>
      </w:r>
    </w:p>
    <w:p>
      <w:pPr>
        <w:pStyle w:val="BodyText"/>
        <w:ind w:firstLine="1430" w:end="0"/>
        <w:rPr/>
      </w:pPr>
      <w:r>
        <w:rPr/>
        <w:t>27.</w:t>
        <w:tab/>
        <w:t>Section 11.16.1 of the ISO Tariff clearly states that if a payment is not made for a charge settled by the ISO, including charges for Imbalance Energy, the ISO shall reduce payments to all ISO Creditors proportionately.  In other words, the ISO must spread the loss among ISO Creditors.</w:t>
      </w:r>
    </w:p>
    <w:p>
      <w:pPr>
        <w:pStyle w:val="BodyText"/>
        <w:ind w:firstLine="1430" w:end="0"/>
        <w:rPr/>
      </w:pPr>
      <w:r>
        <w:rPr/>
        <w:t>28.</w:t>
        <w:tab/>
        <w:t>Section 5.3 of Schedule 2 of the CalPX Tariff does not apply under circumstances when the CalPX is acting as Scheduling Coordinator with the ISO for purchases of Imbalance Energy in the Real Time Market.  On its face, Section 5.3 does not apply to charges for Imbalance Energy.  The provision only applies to “amounts owed to the CalPX Participants.”  The CalPX Tariff defines “PX Participant” as: “An entity that is authorized to buy or sell Energy or Ancillary Services through the CalPX,  and any agent authorized to act on behalf of such entity.”  The ISO is not a CalPX Participant in the Real Time Market, and the amounts owed by Edison and PG&amp;E are not amounts owed to CalPX Participants, but rather constitute amounts owed to the ISO for the benefit of sellers of Imbalance Energy in the Real Time Market.</w:t>
      </w:r>
    </w:p>
    <w:p>
      <w:pPr>
        <w:pStyle w:val="BodyText"/>
        <w:ind w:hanging="0" w:end="0"/>
        <w:jc w:val="center"/>
        <w:rPr>
          <w:b/>
        </w:rPr>
      </w:pPr>
      <w:r>
        <w:rPr>
          <w:b/>
        </w:rPr>
      </w:r>
    </w:p>
    <w:p>
      <w:pPr>
        <w:pStyle w:val="BodyText"/>
        <w:ind w:hanging="0" w:end="0"/>
        <w:jc w:val="center"/>
        <w:rPr>
          <w:b/>
        </w:rPr>
      </w:pPr>
      <w:r>
        <w:rPr>
          <w:b/>
        </w:rPr>
        <w:t>PRAYER FOR RELIEF</w:t>
      </w:r>
    </w:p>
    <w:p>
      <w:pPr>
        <w:pStyle w:val="BodyText"/>
        <w:rPr/>
      </w:pPr>
      <w:r>
        <w:rPr/>
        <w:t>WHEREFORE, Plaintiffs pray for a temporary restraining order and preliminary injunction, and demands judgment against defendant as follows:</w:t>
      </w:r>
    </w:p>
    <w:p>
      <w:pPr>
        <w:pStyle w:val="Normal"/>
        <w:widowControl/>
        <w:tabs>
          <w:tab w:val="clear" w:pos="720"/>
          <w:tab w:val="left" w:pos="-1440" w:leader="none"/>
        </w:tabs>
        <w:spacing w:lineRule="exact" w:line="480"/>
        <w:rPr/>
      </w:pPr>
      <w:r>
        <w:rPr/>
        <w:tab/>
        <w:t>1.</w:t>
        <w:tab/>
        <w:t>An Order temporarily and preliminarily restraining CalPX , until the Federal Energy Regulatory Commission (“FERC”) has ruled on a request for Emergency Suspension of Tariff Provisions filed simultaneously herewith, from:</w:t>
      </w:r>
    </w:p>
    <w:p>
      <w:pPr>
        <w:pStyle w:val="Normal"/>
        <w:widowControl/>
        <w:tabs>
          <w:tab w:val="clear" w:pos="720"/>
          <w:tab w:val="left" w:pos="-1440" w:leader="none"/>
        </w:tabs>
        <w:spacing w:lineRule="exact" w:line="480"/>
        <w:rPr/>
      </w:pPr>
      <w:r>
        <w:rPr/>
        <w:tab/>
        <w:tab/>
        <w:t>a.</w:t>
        <w:tab/>
        <w:t>Issuing invoices to Participants for charge backs attributable to the failure of other Participants to pay for electricity purchased through the Imbalance Energy Real Time Market or the Core Market</w:t>
      </w:r>
    </w:p>
    <w:p>
      <w:pPr>
        <w:pStyle w:val="Normal"/>
        <w:widowControl/>
        <w:tabs>
          <w:tab w:val="clear" w:pos="720"/>
          <w:tab w:val="left" w:pos="-1440" w:leader="none"/>
        </w:tabs>
        <w:spacing w:lineRule="exact" w:line="480"/>
        <w:ind w:firstLine="1440" w:end="0"/>
        <w:rPr/>
      </w:pPr>
      <w:r>
        <w:rPr/>
        <w:t>b.</w:t>
        <w:tab/>
        <w:t>Drawing upon any letters of credit issued to the CalPX by participants in either the core or block forward markets wholesale electrical markets (hereinafter “Participants”) or dispersing or using other collateral deposited with CalPX by Participants to the extent such draws are based upon a declaration that Participants are in Default for Participants’ failure to pay any invoices arising from the charge back provisions of the California Power Exchange Corporation FERC Electrical Service Tariff No. 2 or CalPX Trading Services Rate Schedule FERC No. 1 arising from the initial default of Southern California Edison and Pacific Gas &amp; Electric to pay for electricity those entities purchased through the Imbalance Energy Real Time Market or the Core Market;</w:t>
      </w:r>
    </w:p>
    <w:p>
      <w:pPr>
        <w:pStyle w:val="Normal"/>
        <w:widowControl/>
        <w:tabs>
          <w:tab w:val="clear" w:pos="720"/>
          <w:tab w:val="left" w:pos="-1440" w:leader="none"/>
        </w:tabs>
        <w:spacing w:lineRule="exact" w:line="480"/>
        <w:ind w:firstLine="1440" w:end="0"/>
        <w:rPr/>
      </w:pPr>
      <w:r>
        <w:rPr/>
        <w:t>c.</w:t>
        <w:tab/>
        <w:t>Declaring Participants in Default for Participants’ failure to pay any invoices arising from the charge back provisions of the California Power Exchange Corporation FERC Electrical Service Tariff No. 2 or CalPX Trading Services Rate Schedule FERC No. 1 arising from the initial default of Southern California Edison and Pacific Gas &amp; Electric to pay for electricity those entities purchased through the Imbalance Energy Real Time Market or through the Core Market; and</w:t>
      </w:r>
    </w:p>
    <w:p>
      <w:pPr>
        <w:pStyle w:val="Normal"/>
        <w:widowControl/>
        <w:tabs>
          <w:tab w:val="clear" w:pos="720"/>
          <w:tab w:val="left" w:pos="-1440" w:leader="none"/>
        </w:tabs>
        <w:spacing w:lineRule="exact" w:line="480"/>
        <w:ind w:firstLine="1440" w:end="0"/>
        <w:rPr/>
      </w:pPr>
      <w:r>
        <w:rPr/>
        <w:t>d.</w:t>
        <w:tab/>
        <w:t>Demanding payment under Surety Performance Bonds for  Participants’ failure to pay any invoices arising from the charge back provisions of the California Power Exchange Corporation FERC Electrical Service Tariff No. 2 or CalPX Trading Services Rate Schedule FERC No. 1 arising from the initial default of Southern California Edison and Pacific Gas &amp; Electric to pay for electricity purchased through the Imbalance Energy Real Time Market or the Core Market.</w:t>
      </w:r>
    </w:p>
    <w:p>
      <w:pPr>
        <w:pStyle w:val="BodyText"/>
        <w:ind w:firstLine="720" w:end="0"/>
        <w:rPr/>
      </w:pPr>
      <w:r>
        <w:rPr/>
        <w:t>2.</w:t>
        <w:tab/>
        <w:t>Awarding attorney’s fees and recoverable costs of suit and other expenses;</w:t>
      </w:r>
    </w:p>
    <w:p>
      <w:pPr>
        <w:pStyle w:val="BodyText"/>
        <w:ind w:firstLine="720" w:end="0"/>
        <w:rPr/>
      </w:pPr>
      <w:r>
        <w:rPr/>
        <w:t>3.</w:t>
        <w:tab/>
        <w:t xml:space="preserve">Ordering such further relief as the Court may deem just and proper.  </w:t>
      </w:r>
    </w:p>
    <w:p>
      <w:pPr>
        <w:pStyle w:val="BodyText"/>
        <w:rPr/>
      </w:pPr>
      <w:r>
        <w:rPr/>
      </w:r>
    </w:p>
    <w:p>
      <w:pPr>
        <w:pStyle w:val="PleadingSignature"/>
        <w:spacing w:before="240" w:after="0"/>
        <w:ind w:start="720" w:end="0"/>
        <w:rPr/>
      </w:pPr>
      <w:r>
        <w:rPr/>
        <w:t xml:space="preserve">Dated:  February </w:t>
      </w:r>
      <w:r>
        <w:rPr>
          <w:lang w:val="en-CA"/>
        </w:rPr>
        <w:t>2, 2001</w:t>
      </w:r>
    </w:p>
    <w:p>
      <w:pPr>
        <w:pStyle w:val="PleadingSignature"/>
        <w:rPr/>
      </w:pPr>
      <w:r>
        <w:rPr/>
      </w:r>
    </w:p>
    <w:p>
      <w:pPr>
        <w:pStyle w:val="PleadingSignature"/>
        <w:spacing w:before="720" w:after="0"/>
        <w:rPr/>
      </w:pPr>
      <w:r>
        <w:rPr/>
        <w:t>By</w:t>
      </w:r>
    </w:p>
    <w:p>
      <w:pPr>
        <w:pStyle w:val="PleadingSignature"/>
        <w:pBdr>
          <w:top w:val="single" w:sz="4" w:space="1" w:color="000000"/>
        </w:pBdr>
        <w:ind w:start="5040" w:end="360"/>
        <w:rPr/>
      </w:pPr>
      <w:r>
        <w:rPr/>
        <w:tab/>
      </w:r>
    </w:p>
    <w:p>
      <w:pPr>
        <w:pStyle w:val="PleadingSignature"/>
        <w:rPr/>
      </w:pPr>
      <w:r>
        <w:rPr/>
        <w:t>Attorneys for Plaintiffs Sempra Energy Trading Corporation</w:t>
      </w:r>
    </w:p>
    <w:p>
      <w:pPr>
        <w:pStyle w:val="Normal"/>
        <w:rPr/>
      </w:pPr>
      <w:r>
        <w:rPr/>
      </w:r>
    </w:p>
    <w:sectPr>
      <w:headerReference w:type="default" r:id="rId2"/>
      <w:headerReference w:type="first" r:id="rId3"/>
      <w:footerReference w:type="default" r:id="rId4"/>
      <w:footerReference w:type="first" r:id="rId5"/>
      <w:type w:val="nextPage"/>
      <w:pgSz w:w="12240" w:h="15840"/>
      <w:pgMar w:left="2088" w:right="720" w:gutter="0" w:header="432" w:top="1325" w:footer="360" w:bottom="1080"/>
      <w:pgNumType w:start="1" w:fmt="decimal"/>
      <w:formProt w:val="false"/>
      <w:titlePg/>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30" w:type="dxa"/>
      <w:jc w:val="start"/>
      <w:tblInd w:w="-1786" w:type="dxa"/>
      <w:tblLayout w:type="fixed"/>
      <w:tblCellMar>
        <w:top w:w="0" w:type="dxa"/>
        <w:start w:w="108" w:type="dxa"/>
        <w:bottom w:w="0" w:type="dxa"/>
        <w:end w:w="108" w:type="dxa"/>
      </w:tblCellMar>
    </w:tblPr>
    <w:tblGrid>
      <w:gridCol w:w="1890"/>
      <w:gridCol w:w="3874"/>
      <w:gridCol w:w="1170"/>
      <w:gridCol w:w="4496"/>
    </w:tblGrid>
    <w:tr>
      <w:trPr>
        <w:trHeight w:val="620" w:hRule="exact"/>
      </w:trPr>
      <w:tc>
        <w:tcPr>
          <w:tcW w:w="1890" w:type="dxa"/>
          <w:tcBorders/>
        </w:tcPr>
        <w:p>
          <w:pPr>
            <w:pStyle w:val="Footer"/>
            <w:snapToGrid w:val="false"/>
            <w:spacing w:lineRule="exact" w:line="160"/>
            <w:ind w:start="-72" w:end="0"/>
            <w:jc w:val="center"/>
            <w:rPr>
              <w:rFonts w:ascii="EngravrsRoman BT" w:hAnsi="EngravrsRoman BT" w:cs="EngravrsRoman BT"/>
              <w:smallCaps/>
              <w:spacing w:val="10"/>
              <w:sz w:val="16"/>
            </w:rPr>
          </w:pPr>
          <w:r>
            <w:rPr>
              <w:rFonts w:cs="EngravrsRoman BT" w:ascii="EngravrsRoman BT" w:hAnsi="EngravrsRoman BT"/>
              <w:smallCaps/>
              <w:spacing w:val="10"/>
              <w:sz w:val="16"/>
            </w:rPr>
          </w:r>
        </w:p>
      </w:tc>
      <w:tc>
        <w:tcPr>
          <w:tcW w:w="3874" w:type="dxa"/>
          <w:tcBorders/>
          <w:vAlign w:val="center"/>
        </w:tcPr>
        <w:p>
          <w:pPr>
            <w:pStyle w:val="Footer"/>
            <w:snapToGrid w:val="false"/>
            <w:spacing w:lineRule="exact" w:line="200"/>
            <w:rPr>
              <w:rFonts w:ascii="EngravrsRoman BT" w:hAnsi="EngravrsRoman BT" w:cs="EngravrsRoman BT"/>
              <w:smallCaps/>
              <w:spacing w:val="10"/>
              <w:sz w:val="16"/>
            </w:rPr>
          </w:pPr>
          <w:r>
            <w:rPr>
              <w:rFonts w:cs="EngravrsRoman BT" w:ascii="EngravrsRoman BT" w:hAnsi="EngravrsRoman BT"/>
              <w:smallCaps/>
              <w:spacing w:val="10"/>
              <w:sz w:val="16"/>
            </w:rPr>
          </w:r>
        </w:p>
      </w:tc>
      <w:tc>
        <w:tcPr>
          <w:tcW w:w="1170" w:type="dxa"/>
          <w:tcBorders/>
        </w:tcPr>
        <w:p>
          <w:pPr>
            <w:pStyle w:val="Footer"/>
            <w:spacing w:before="400" w:after="0"/>
            <w:ind w:start="-86" w:end="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c>
      <w:tc>
        <w:tcPr>
          <w:tcW w:w="4496" w:type="dxa"/>
          <w:tcBorders/>
        </w:tcPr>
        <w:p>
          <w:pPr>
            <w:pStyle w:val="Footer"/>
            <w:tabs>
              <w:tab w:val="center" w:pos="4320" w:leader="none"/>
              <w:tab w:val="right" w:pos="5014" w:leader="none"/>
              <w:tab w:val="right" w:pos="9360" w:leader="none"/>
            </w:tabs>
            <w:spacing w:lineRule="exact" w:line="200"/>
            <w:ind w:start="259" w:end="0"/>
            <w:jc w:val="end"/>
            <w:rPr/>
          </w:pPr>
          <w:r>
            <w:rPr>
              <w:sz w:val="20"/>
            </w:rPr>
            <w:t>COMPLAINT FOR DECLARATORY AND INJUNCTIVE RELIEF</w:t>
            <w:b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30" w:type="dxa"/>
      <w:jc w:val="start"/>
      <w:tblInd w:w="-1786" w:type="dxa"/>
      <w:tblLayout w:type="fixed"/>
      <w:tblCellMar>
        <w:top w:w="0" w:type="dxa"/>
        <w:start w:w="108" w:type="dxa"/>
        <w:bottom w:w="0" w:type="dxa"/>
        <w:end w:w="108" w:type="dxa"/>
      </w:tblCellMar>
    </w:tblPr>
    <w:tblGrid>
      <w:gridCol w:w="1890"/>
      <w:gridCol w:w="3874"/>
      <w:gridCol w:w="1170"/>
      <w:gridCol w:w="4496"/>
    </w:tblGrid>
    <w:tr>
      <w:trPr>
        <w:trHeight w:val="620" w:hRule="exact"/>
      </w:trPr>
      <w:tc>
        <w:tcPr>
          <w:tcW w:w="1890" w:type="dxa"/>
          <w:tcBorders/>
        </w:tcPr>
        <w:p>
          <w:pPr>
            <w:pStyle w:val="Footer"/>
            <w:snapToGrid w:val="false"/>
            <w:spacing w:lineRule="exact" w:line="160"/>
            <w:ind w:start="-72" w:end="0"/>
            <w:jc w:val="center"/>
            <w:rPr>
              <w:rFonts w:ascii="EngravrsRoman BT" w:hAnsi="EngravrsRoman BT" w:cs="EngravrsRoman BT"/>
              <w:smallCaps/>
              <w:spacing w:val="10"/>
              <w:sz w:val="16"/>
            </w:rPr>
          </w:pPr>
          <w:r>
            <w:rPr>
              <w:rFonts w:cs="EngravrsRoman BT" w:ascii="EngravrsRoman BT" w:hAnsi="EngravrsRoman BT"/>
              <w:smallCaps/>
              <w:spacing w:val="10"/>
              <w:sz w:val="16"/>
            </w:rPr>
          </w:r>
        </w:p>
      </w:tc>
      <w:tc>
        <w:tcPr>
          <w:tcW w:w="3874" w:type="dxa"/>
          <w:tcBorders/>
          <w:vAlign w:val="center"/>
        </w:tcPr>
        <w:p>
          <w:pPr>
            <w:pStyle w:val="Footer"/>
            <w:spacing w:lineRule="exact" w:line="200"/>
            <w:rPr/>
          </w:pPr>
          <w:r>
            <w:rPr/>
            <w:t xml:space="preserve"> </w:t>
          </w:r>
        </w:p>
      </w:tc>
      <w:tc>
        <w:tcPr>
          <w:tcW w:w="1170" w:type="dxa"/>
          <w:tcBorders/>
        </w:tcPr>
        <w:p>
          <w:pPr>
            <w:pStyle w:val="Footer"/>
            <w:snapToGrid w:val="false"/>
            <w:spacing w:before="400" w:after="0"/>
            <w:ind w:start="-86" w:end="0"/>
            <w:jc w:val="center"/>
            <w:rPr>
              <w:rStyle w:val="PageNumber"/>
            </w:rPr>
          </w:pPr>
          <w:r>
            <w:rPr/>
          </w:r>
        </w:p>
      </w:tc>
      <w:tc>
        <w:tcPr>
          <w:tcW w:w="4496" w:type="dxa"/>
          <w:tcBorders/>
        </w:tcPr>
        <w:p>
          <w:pPr>
            <w:pStyle w:val="Footer"/>
            <w:tabs>
              <w:tab w:val="center" w:pos="4320" w:leader="none"/>
              <w:tab w:val="right" w:pos="5014" w:leader="none"/>
              <w:tab w:val="right" w:pos="9360" w:leader="none"/>
            </w:tabs>
            <w:spacing w:lineRule="exact" w:line="200"/>
            <w:ind w:start="259" w:end="0"/>
            <w:jc w:val="end"/>
            <w:rPr/>
          </w:pPr>
          <w:r>
            <w:rPr>
              <w:sz w:val="20"/>
            </w:rPr>
            <w:t>COMPLAINT FOR DECLARATORY AND INJUNCTIVE RELIEF</w:t>
            <w:b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8">
              <wp:simplePos x="0" y="0"/>
              <wp:positionH relativeFrom="column">
                <wp:align>left</wp:align>
              </wp:positionH>
              <wp:positionV relativeFrom="line">
                <wp:posOffset>635</wp:posOffset>
              </wp:positionV>
              <wp:extent cx="6541770" cy="9448800"/>
              <wp:effectExtent l="0" t="0" r="0" b="0"/>
              <wp:wrapNone/>
              <wp:docPr id="1" name="Frame2"/>
              <a:graphic xmlns:a="http://schemas.openxmlformats.org/drawingml/2006/main">
                <a:graphicData uri="http://schemas.microsoft.com/office/word/2010/wordprocessingShape">
                  <wps:wsp>
                    <wps:cNvSpPr txBox="1"/>
                    <wps:spPr>
                      <a:xfrm>
                        <a:off x="0" y="0"/>
                        <a:ext cx="6541770" cy="9448800"/>
                      </a:xfrm>
                      <a:prstGeom prst="rect"/>
                      <a:solidFill>
                        <a:srgbClr val="FFFFFF"/>
                      </a:solidFill>
                    </wps:spPr>
                    <wps:txbx>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5.1pt;height:744pt;mso-wrap-distance-left:0pt;mso-wrap-distance-right:0pt;mso-wrap-distance-top:0pt;mso-wrap-distance-bottom:0pt;margin-top:0pt;mso-position-vertical:top;mso-position-vertical-relative:text;margin-left:-7.55pt;mso-position-horizontal:left;mso-position-horizontal-relative:text">
              <v:textbox inset="0in,0in,0in,0in">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snapToGrid w:val="false"/>
                            <w:ind w:start="113" w:end="113"/>
                            <w:rPr/>
                          </w:pPr>
                          <w:r>
                            <w:rPr/>
                          </w:r>
                        </w:p>
                      </w:tc>
                    </w:tr>
                  </w:tbl>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9">
              <wp:simplePos x="0" y="0"/>
              <wp:positionH relativeFrom="column">
                <wp:align>left</wp:align>
              </wp:positionH>
              <wp:positionV relativeFrom="line">
                <wp:posOffset>635</wp:posOffset>
              </wp:positionV>
              <wp:extent cx="6541770" cy="9448800"/>
              <wp:effectExtent l="0" t="0" r="0" b="0"/>
              <wp:wrapNone/>
              <wp:docPr id="2" name="Frame1"/>
              <a:graphic xmlns:a="http://schemas.openxmlformats.org/drawingml/2006/main">
                <a:graphicData uri="http://schemas.microsoft.com/office/word/2010/wordprocessingShape">
                  <wps:wsp>
                    <wps:cNvSpPr txBox="1"/>
                    <wps:spPr>
                      <a:xfrm>
                        <a:off x="0" y="0"/>
                        <a:ext cx="6541770" cy="9448800"/>
                      </a:xfrm>
                      <a:prstGeom prst="rect"/>
                      <a:solidFill>
                        <a:srgbClr val="FFFFFF"/>
                      </a:solidFill>
                    </wps:spPr>
                    <wps:txbx>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5.1pt;height:744pt;mso-wrap-distance-left:0pt;mso-wrap-distance-right:0pt;mso-wrap-distance-top:0pt;mso-wrap-distance-bottom:0pt;margin-top:0pt;mso-position-vertical:top;mso-position-vertical-relative:text;margin-left:-7.55pt;mso-position-horizontal:left;mso-position-horizontal-relative:text">
              <v:textbox inset="0in,0in,0in,0in">
                <w:txbxContent>
                  <w:tbl>
                    <w:tblPr>
                      <w:tblW w:w="10302" w:type="dxa"/>
                      <w:jc w:val="start"/>
                      <w:tblInd w:w="-835" w:type="dxa"/>
                      <w:tblLayout w:type="fixed"/>
                      <w:tblCellMar>
                        <w:top w:w="0" w:type="dxa"/>
                        <w:start w:w="0" w:type="dxa"/>
                        <w:bottom w:w="0" w:type="dxa"/>
                        <w:end w:w="0" w:type="dxa"/>
                      </w:tblCellMar>
                    </w:tblPr>
                    <w:tblGrid>
                      <w:gridCol w:w="630"/>
                      <w:gridCol w:w="9672"/>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672" w:type="dxa"/>
                          <w:tcBorders>
                            <w:end w:val="single" w:sz="6" w:space="0" w:color="000000"/>
                          </w:tcBorders>
                        </w:tcPr>
                        <w:p>
                          <w:pPr>
                            <w:pStyle w:val="Normal"/>
                            <w:snapToGrid w:val="false"/>
                            <w:ind w:start="113" w:end="113"/>
                            <w:rPr/>
                          </w:pPr>
                          <w:r>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hkCopyTitle" w:val="True"/>
    <w:docVar w:name="chkFederal" w:val="False"/>
    <w:docVar w:name="chkIncludeInSignature" w:val="False"/>
    <w:docVar w:name="chkOfCounsel" w:val="True"/>
    <w:docVar w:name="chkOptFName" w:val="False"/>
    <w:docVar w:name="chkState" w:val="False"/>
    <w:docVar w:name="chkTitlePage" w:val="False"/>
    <w:docVar w:name="cmbAttyName" w:val="2242"/>
    <w:docVar w:name="cmbAuthorLists" w:val="-100"/>
    <w:docVar w:name="cmbCrossActions" w:val="none"/>
    <w:docVar w:name="cmbDated" w:val="0"/>
    <w:docVar w:name="cmbJurisdiction" w:val="Central"/>
    <w:docVar w:name="cmbOptBodyTextAlignment" w:val="0"/>
    <w:docVar w:name="cmbOptDated" w:val="0"/>
    <w:docVar w:name="cmbOptFonts" w:val="Times New Roman"/>
    <w:docVar w:name="cmbOptOffices" w:val="4"/>
    <w:docVar w:name="cmbOptPPaper" w:val="28-line"/>
    <w:docVar w:name="cmbOptSigType" w:val="Standard"/>
    <w:docVar w:name="cmbPrefLists" w:val="-100"/>
    <w:docVar w:name="cmbSetAuthorPref" w:val="48"/>
    <w:docVar w:name="iTrailerType" w:val="0"/>
    <w:docVar w:name="lstAttyList" w:val="48"/>
    <w:docVar w:name="lstCourts" w:val="U.S. District"/>
    <w:docVar w:name="lstSigType" w:val="Standard"/>
    <w:docVar w:name="OtherCaptionItems" w:val="†"/>
    <w:docVar w:name="packedarray" w:val="Henry C. Thumann†243|John W. Stamper†330|Brian S. Currey†48|Sharon L. Tomkins†578|Marc S. Williams†2242"/>
    <w:docVar w:name="Restarted" w:val="True"/>
    <w:docVar w:name="tglUseFirmDefaults" w:val="False"/>
    <w:docVar w:name="txtAttyName" w:val="Brian S. Currey"/>
    <w:docVar w:name="txtAttysFor" w:val="Plaintiff"/>
    <w:docVar w:name="txtCaseNo" w:val="Case No. "/>
    <w:docVar w:name="txtDocTitle" w:val="COMPLAINT FOR DECLARATORY AND INJUNCTIVE RELIEF"/>
    <w:docVar w:name="txtDPartyNames" w:val="The California Power Exchange"/>
    <w:docVar w:name="txtDPartyTitle" w:val="Defendant"/>
    <w:docVar w:name="txtFooterText" w:val="COMPLAINT FOR DECLARATORY AND INJUNCTIVE RELIEF"/>
    <w:docVar w:name="txtJurisdiction" w:val="Central"/>
    <w:docVar w:name="txtOptFirstLine" w:val="1"/>
    <w:docVar w:name="txtOptFSize" w:val="13"/>
    <w:docVar w:name="txtOptLeftMargin" w:val="1.45"/>
    <w:docVar w:name="txtOptRightMargin" w:val=" .5"/>
    <w:docVar w:name="txtPPNames" w:val="San Diego Gas &amp; Electric Company"/>
    <w:docVar w:name="txtPPTitle" w:val="Plaintiff"/>
    <w:docVar w:name="txtRepParties" w:val="San Diego Gas &amp; Electric Company"/>
    <w:docVar w:name="zzmpFixed_MacPacVersion" w:val="97"/>
    <w:docVar w:name="zzmpFixed_PleadingPaperType" w:val="PP28None"/>
    <w:docVar w:name="zzmpFixedDOC_ID" w:val="LA2:55194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exact" w:line="24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Normal"/>
    <w:qFormat/>
    <w:pPr>
      <w:keepNext w:val="true"/>
      <w:widowControl/>
      <w:numPr>
        <w:ilvl w:val="0"/>
        <w:numId w:val="1"/>
      </w:numPr>
      <w:spacing w:lineRule="auto" w:line="240" w:before="240" w:after="60"/>
      <w:outlineLvl w:val="0"/>
    </w:pPr>
    <w:rPr>
      <w:rFonts w:ascii="Arial" w:hAnsi="Arial" w:cs="Arial"/>
      <w:b/>
      <w:kern w:val="2"/>
      <w:sz w:val="28"/>
    </w:rPr>
  </w:style>
  <w:style w:type="paragraph" w:styleId="Heading2">
    <w:name w:val="heading 2"/>
    <w:basedOn w:val="Normal"/>
    <w:next w:val="Normal"/>
    <w:qFormat/>
    <w:pPr>
      <w:keepNext w:val="true"/>
      <w:widowControl/>
      <w:numPr>
        <w:ilvl w:val="1"/>
        <w:numId w:val="1"/>
      </w:numPr>
      <w:spacing w:lineRule="auto" w:line="240" w:before="240" w:after="60"/>
      <w:outlineLvl w:val="1"/>
    </w:pPr>
    <w:rPr>
      <w:rFonts w:ascii="Arial" w:hAnsi="Arial" w:cs="Arial"/>
      <w:b/>
      <w:i/>
    </w:rPr>
  </w:style>
  <w:style w:type="paragraph" w:styleId="Heading3">
    <w:name w:val="heading 3"/>
    <w:basedOn w:val="Normal"/>
    <w:next w:val="Normal"/>
    <w:qFormat/>
    <w:pPr>
      <w:keepNext w:val="true"/>
      <w:widowControl/>
      <w:numPr>
        <w:ilvl w:val="2"/>
        <w:numId w:val="1"/>
      </w:numPr>
      <w:spacing w:lineRule="auto" w:line="240"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spacing w:lineRule="auto" w:line="240" w:before="240" w:after="60"/>
      <w:outlineLvl w:val="3"/>
    </w:pPr>
    <w:rPr>
      <w:rFonts w:ascii="Arial" w:hAnsi="Arial" w:cs="Arial"/>
      <w:b/>
    </w:rPr>
  </w:style>
  <w:style w:type="paragraph" w:styleId="Heading5">
    <w:name w:val="heading 5"/>
    <w:basedOn w:val="Normal"/>
    <w:next w:val="Normal"/>
    <w:qFormat/>
    <w:pPr>
      <w:widowControl/>
      <w:numPr>
        <w:ilvl w:val="4"/>
        <w:numId w:val="1"/>
      </w:numPr>
      <w:spacing w:lineRule="auto" w:line="240" w:before="240" w:after="60"/>
      <w:outlineLvl w:val="4"/>
    </w:pPr>
    <w:rPr>
      <w:sz w:val="22"/>
    </w:rPr>
  </w:style>
  <w:style w:type="paragraph" w:styleId="Heading6">
    <w:name w:val="heading 6"/>
    <w:basedOn w:val="Normal"/>
    <w:next w:val="Normal"/>
    <w:qFormat/>
    <w:pPr>
      <w:widowControl/>
      <w:numPr>
        <w:ilvl w:val="5"/>
        <w:numId w:val="1"/>
      </w:numPr>
      <w:spacing w:lineRule="auto" w:line="240" w:before="240" w:after="60"/>
      <w:outlineLvl w:val="5"/>
    </w:pPr>
    <w:rPr>
      <w:i/>
      <w:sz w:val="22"/>
    </w:rPr>
  </w:style>
  <w:style w:type="paragraph" w:styleId="Heading7">
    <w:name w:val="heading 7"/>
    <w:basedOn w:val="Normal"/>
    <w:next w:val="Normal"/>
    <w:qFormat/>
    <w:pPr>
      <w:widowControl/>
      <w:numPr>
        <w:ilvl w:val="6"/>
        <w:numId w:val="1"/>
      </w:numPr>
      <w:spacing w:lineRule="auto" w:line="240" w:before="240" w:after="60"/>
      <w:outlineLvl w:val="6"/>
    </w:pPr>
    <w:rPr>
      <w:rFonts w:ascii="Arial" w:hAnsi="Arial" w:cs="Arial"/>
      <w:sz w:val="20"/>
    </w:rPr>
  </w:style>
  <w:style w:type="paragraph" w:styleId="Heading8">
    <w:name w:val="heading 8"/>
    <w:basedOn w:val="Normal"/>
    <w:next w:val="Normal"/>
    <w:qFormat/>
    <w:pPr>
      <w:widowControl/>
      <w:numPr>
        <w:ilvl w:val="7"/>
        <w:numId w:val="1"/>
      </w:numPr>
      <w:spacing w:lineRule="auto" w:line="240" w:before="240" w:after="60"/>
      <w:outlineLvl w:val="7"/>
    </w:pPr>
    <w:rPr>
      <w:rFonts w:ascii="Arial" w:hAnsi="Arial" w:cs="Arial"/>
      <w:i/>
      <w:sz w:val="20"/>
    </w:rPr>
  </w:style>
  <w:style w:type="paragraph" w:styleId="Heading9">
    <w:name w:val="heading 9"/>
    <w:basedOn w:val="Normal"/>
    <w:next w:val="Normal"/>
    <w:qFormat/>
    <w:pPr>
      <w:widowControl/>
      <w:numPr>
        <w:ilvl w:val="8"/>
        <w:numId w:val="1"/>
      </w:numPr>
      <w:spacing w:lineRule="auto" w:line="240"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u w:val="none"/>
    </w:rPr>
  </w:style>
  <w:style w:type="character" w:styleId="WW8Num11z1">
    <w:name w:val="WW8Num11z1"/>
    <w:qFormat/>
    <w:rPr>
      <w:rFonts w:ascii="Courier New" w:hAnsi="Courier New" w:cs="Courier New"/>
      <w:b/>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b/>
      <w:i w:val="false"/>
      <w:caps w:val="false"/>
      <w:smallCaps w:val="false"/>
      <w:strike w:val="false"/>
      <w:dstrike w:val="false"/>
      <w:shadow w:val="false"/>
      <w:vanish w:val="false"/>
      <w:color w:val="0000FF"/>
      <w:position w:val="0"/>
      <w:sz w:val="24"/>
      <w:u w:val="none"/>
      <w:vertAlign w:val="baseline"/>
    </w:rPr>
  </w:style>
  <w:style w:type="character" w:styleId="WW8Num13z2">
    <w:name w:val="WW8Num13z2"/>
    <w:qFormat/>
    <w:rPr>
      <w:b w:val="false"/>
      <w:i w:val="false"/>
      <w:caps w:val="false"/>
      <w:smallCaps w:val="false"/>
      <w:strike w:val="false"/>
      <w:dstrike w:val="false"/>
      <w:shadow w:val="false"/>
      <w:vanish w:val="false"/>
      <w:color w:val="0000FF"/>
      <w:position w:val="0"/>
      <w:sz w:val="24"/>
      <w:vertAlign w:val="baseline"/>
    </w:rPr>
  </w:style>
  <w:style w:type="character" w:styleId="WW8Num13z3">
    <w:name w:val="WW8Num13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13z4">
    <w:name w:val="WW8Num13z4"/>
    <w:qFormat/>
    <w:rPr>
      <w:caps w:val="false"/>
      <w:smallCaps w:val="false"/>
      <w:strike w:val="false"/>
      <w:dstrike w:val="false"/>
      <w:shadow w:val="false"/>
      <w:vanish w:val="false"/>
      <w:color w:val="0000FF"/>
      <w:position w:val="0"/>
      <w:sz w:val="24"/>
      <w:u w:val="none"/>
      <w:vertAlign w:val="baseline"/>
    </w:rPr>
  </w:style>
  <w:style w:type="character" w:styleId="WW8Num13z7">
    <w:name w:val="WW8Num13z7"/>
    <w:qFormat/>
    <w:rPr>
      <w:b w:val="false"/>
      <w:i w:val="false"/>
      <w:caps w:val="false"/>
      <w:smallCaps w:val="false"/>
      <w:strike w:val="false"/>
      <w:dstrike w:val="false"/>
      <w:shadow w:val="false"/>
      <w:vanish w:val="false"/>
      <w:color w:val="0000FF"/>
      <w:position w:val="0"/>
      <w:sz w:val="24"/>
      <w:u w:val="none"/>
      <w:vertAlign w:val="baseline"/>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b/>
      <w:i w:val="false"/>
      <w:caps w:val="false"/>
      <w:smallCaps w:val="false"/>
      <w:strike w:val="false"/>
      <w:dstrike w:val="false"/>
      <w:shadow w:val="false"/>
      <w:vanish w:val="false"/>
      <w:color w:val="0000FF"/>
      <w:position w:val="0"/>
      <w:sz w:val="24"/>
      <w:u w:val="none"/>
      <w:vertAlign w:val="baseline"/>
    </w:rPr>
  </w:style>
  <w:style w:type="character" w:styleId="WW8Num15z2">
    <w:name w:val="WW8Num15z2"/>
    <w:qFormat/>
    <w:rPr>
      <w:b w:val="false"/>
      <w:i w:val="false"/>
      <w:caps w:val="false"/>
      <w:smallCaps w:val="false"/>
      <w:strike w:val="false"/>
      <w:dstrike w:val="false"/>
      <w:shadow w:val="false"/>
      <w:vanish w:val="false"/>
      <w:color w:val="0000FF"/>
      <w:position w:val="0"/>
      <w:sz w:val="24"/>
      <w:vertAlign w:val="baseline"/>
    </w:rPr>
  </w:style>
  <w:style w:type="character" w:styleId="WW8Num15z3">
    <w:name w:val="WW8Num15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15z4">
    <w:name w:val="WW8Num15z4"/>
    <w:qFormat/>
    <w:rPr>
      <w:caps w:val="false"/>
      <w:smallCaps w:val="false"/>
      <w:strike w:val="false"/>
      <w:dstrike w:val="false"/>
      <w:shadow w:val="false"/>
      <w:vanish w:val="false"/>
      <w:color w:val="0000FF"/>
      <w:position w:val="0"/>
      <w:sz w:val="24"/>
      <w:u w:val="none"/>
      <w:vertAlign w:val="baseline"/>
    </w:rPr>
  </w:style>
  <w:style w:type="character" w:styleId="WW8Num15z7">
    <w:name w:val="WW8Num15z7"/>
    <w:qFormat/>
    <w:rPr>
      <w:b w:val="false"/>
      <w:i w:val="false"/>
      <w:caps w:val="false"/>
      <w:smallCaps w:val="false"/>
      <w:strike w:val="false"/>
      <w:dstrike w:val="false"/>
      <w:shadow w:val="false"/>
      <w:vanish w:val="false"/>
      <w:color w:val="0000FF"/>
      <w:position w:val="0"/>
      <w:sz w:val="24"/>
      <w:u w:val="none"/>
      <w:vertAlign w:val="baseline"/>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PageNumber">
    <w:name w:val="page number"/>
    <w:basedOn w:val="DefaultParagraphFont"/>
    <w:rPr/>
  </w:style>
  <w:style w:type="character" w:styleId="zzmpTrailerItem">
    <w:name w:val="zzmpTrailerItem"/>
    <w:basedOn w:val="DefaultParagraphFont"/>
    <w:qFormat/>
    <w:rPr>
      <w:rFonts w:ascii="Times New Roman" w:hAnsi="Times New Roman" w:cs="Times New Roman"/>
      <w:b w:val="false"/>
      <w:bCs/>
      <w:i w:val="false"/>
      <w:caps w:val="false"/>
      <w:smallCaps w:val="false"/>
      <w:strike w:val="false"/>
      <w:dstrike w:val="false"/>
      <w:shadow w:val="false"/>
      <w:emboss/>
      <w:vanish w:val="false"/>
      <w:position w:val="0"/>
      <w:sz w:val="16"/>
      <w:sz w:val="16"/>
      <w:u w:val="none"/>
      <w:effect w:val="blinkBackground"/>
      <w:vertAlign w:val="baseli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lineRule="exact" w:line="48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sz w:val="20"/>
    </w:rPr>
  </w:style>
  <w:style w:type="paragraph" w:styleId="Index">
    <w:name w:val="Index"/>
    <w:basedOn w:val="Normal"/>
    <w:qFormat/>
    <w:pPr>
      <w:suppressLineNumbers/>
    </w:pPr>
    <w:rPr>
      <w:rFonts w:cs="NotoSans NF"/>
    </w:rPr>
  </w:style>
  <w:style w:type="paragraph" w:styleId="Quote">
    <w:name w:val="Quote"/>
    <w:basedOn w:val="Normal"/>
    <w:next w:val="BodyTextContinued"/>
    <w:qFormat/>
    <w:pPr>
      <w:widowControl/>
      <w:spacing w:before="240" w:after="0"/>
      <w:ind w:hanging="0" w:start="1440" w:end="1440"/>
    </w:pPr>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before="0" w:after="240"/>
      <w:jc w:val="center"/>
    </w:pPr>
    <w:rPr/>
  </w:style>
  <w:style w:type="paragraph" w:styleId="EnvelopeAddress">
    <w:name w:val="envelope address"/>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widowControl/>
      <w:tabs>
        <w:tab w:val="clear" w:pos="720"/>
        <w:tab w:val="left" w:pos="5400" w:leader="none"/>
      </w:tabs>
      <w:ind w:hanging="0" w:start="4680" w:end="360"/>
    </w:pPr>
    <w:rPr/>
  </w:style>
  <w:style w:type="paragraph" w:styleId="TableofAuthorities">
    <w:name w:val="Table of Authorities"/>
    <w:basedOn w:val="Normal"/>
    <w:next w:val="Normal"/>
    <w:qFormat/>
    <w:pPr>
      <w:tabs>
        <w:tab w:val="clear" w:pos="720"/>
        <w:tab w:val="right" w:pos="9389" w:leader="dot"/>
      </w:tabs>
      <w:spacing w:before="0" w:after="240"/>
      <w:ind w:hanging="360" w:start="360" w:end="1440"/>
    </w:pPr>
    <w:rPr/>
  </w:style>
  <w:style w:type="paragraph" w:styleId="TOAHeading">
    <w:name w:val="TOA Heading"/>
    <w:basedOn w:val="Normal"/>
    <w:next w:val="TableofAuthorities"/>
    <w:qFormat/>
    <w:pPr>
      <w:keepNext w:val="true"/>
      <w:spacing w:before="240" w:after="240"/>
    </w:pPr>
    <w:rPr>
      <w:b/>
      <w:caps/>
      <w:u w:val="single"/>
    </w:rPr>
  </w:style>
  <w:style w:type="paragraph" w:styleId="TOC1">
    <w:name w:val="toc 1"/>
    <w:basedOn w:val="Normal"/>
    <w:next w:val="Normal"/>
    <w:pPr>
      <w:keepLines/>
      <w:widowControl/>
      <w:tabs>
        <w:tab w:val="clear" w:pos="720"/>
        <w:tab w:val="right" w:pos="9389" w:leader="dot"/>
      </w:tabs>
      <w:spacing w:before="0" w:after="240"/>
      <w:ind w:hanging="720" w:start="720" w:end="720"/>
    </w:pPr>
    <w:rPr>
      <w:caps/>
    </w:rPr>
  </w:style>
  <w:style w:type="paragraph" w:styleId="TOC2">
    <w:name w:val="toc 2"/>
    <w:basedOn w:val="Normal"/>
    <w:next w:val="Normal"/>
    <w:pPr>
      <w:keepLines/>
      <w:widowControl/>
      <w:tabs>
        <w:tab w:val="clear" w:pos="720"/>
        <w:tab w:val="right" w:pos="9389" w:leader="dot"/>
      </w:tabs>
      <w:spacing w:before="0" w:after="240"/>
      <w:ind w:hanging="720" w:start="1440" w:end="720"/>
    </w:pPr>
    <w:rPr/>
  </w:style>
  <w:style w:type="paragraph" w:styleId="TOC3">
    <w:name w:val="toc 3"/>
    <w:basedOn w:val="Normal"/>
    <w:next w:val="Normal"/>
    <w:pPr>
      <w:keepLines/>
      <w:widowControl/>
      <w:tabs>
        <w:tab w:val="clear" w:pos="720"/>
        <w:tab w:val="right" w:pos="9389" w:leader="dot"/>
      </w:tabs>
      <w:spacing w:before="0" w:after="240"/>
      <w:ind w:hanging="720" w:start="2160" w:end="720"/>
    </w:pPr>
    <w:rPr/>
  </w:style>
  <w:style w:type="paragraph" w:styleId="TOC4">
    <w:name w:val="toc 4"/>
    <w:basedOn w:val="Normal"/>
    <w:next w:val="Normal"/>
    <w:pPr>
      <w:keepLines/>
      <w:widowControl/>
      <w:tabs>
        <w:tab w:val="clear" w:pos="720"/>
        <w:tab w:val="right" w:pos="9389" w:leader="dot"/>
      </w:tabs>
      <w:spacing w:before="0" w:after="240"/>
      <w:ind w:hanging="720" w:start="2880" w:end="720"/>
    </w:pPr>
    <w:rPr/>
  </w:style>
  <w:style w:type="paragraph" w:styleId="TOC5">
    <w:name w:val="toc 5"/>
    <w:basedOn w:val="Normal"/>
    <w:next w:val="Normal"/>
    <w:pPr>
      <w:keepLines/>
      <w:widowControl/>
      <w:tabs>
        <w:tab w:val="clear" w:pos="720"/>
        <w:tab w:val="right" w:pos="9389" w:leader="dot"/>
      </w:tabs>
      <w:spacing w:before="0" w:after="240"/>
      <w:ind w:hanging="720" w:start="3600" w:end="720"/>
    </w:pPr>
    <w:rPr/>
  </w:style>
  <w:style w:type="paragraph" w:styleId="TOC6">
    <w:name w:val="toc 6"/>
    <w:basedOn w:val="Normal"/>
    <w:next w:val="Normal"/>
    <w:pPr>
      <w:keepLines/>
      <w:widowControl/>
      <w:tabs>
        <w:tab w:val="clear" w:pos="720"/>
        <w:tab w:val="right" w:pos="9389" w:leader="dot"/>
      </w:tabs>
      <w:spacing w:before="0" w:after="240"/>
      <w:ind w:hanging="720" w:start="4320" w:end="720"/>
    </w:pPr>
    <w:rPr/>
  </w:style>
  <w:style w:type="paragraph" w:styleId="TOC7">
    <w:name w:val="toc 7"/>
    <w:basedOn w:val="Normal"/>
    <w:next w:val="Normal"/>
    <w:pPr>
      <w:keepLines/>
      <w:widowControl/>
      <w:tabs>
        <w:tab w:val="clear" w:pos="720"/>
        <w:tab w:val="right" w:pos="9389" w:leader="dot"/>
      </w:tabs>
      <w:spacing w:before="0" w:after="240"/>
      <w:ind w:hanging="720" w:start="5040" w:end="720"/>
    </w:pPr>
    <w:rPr/>
  </w:style>
  <w:style w:type="paragraph" w:styleId="TOC8">
    <w:name w:val="toc 8"/>
    <w:basedOn w:val="Normal"/>
    <w:next w:val="Normal"/>
    <w:pPr>
      <w:keepLines/>
      <w:widowControl/>
      <w:tabs>
        <w:tab w:val="clear" w:pos="720"/>
        <w:tab w:val="right" w:pos="9389" w:leader="dot"/>
      </w:tabs>
      <w:spacing w:before="0" w:after="240"/>
      <w:ind w:hanging="720" w:start="5760" w:end="720"/>
    </w:pPr>
    <w:rPr/>
  </w:style>
  <w:style w:type="paragraph" w:styleId="TOC9">
    <w:name w:val="toc 9"/>
    <w:basedOn w:val="Normal"/>
    <w:next w:val="Normal"/>
    <w:pPr>
      <w:keepLines/>
      <w:widowControl/>
      <w:tabs>
        <w:tab w:val="clear" w:pos="720"/>
        <w:tab w:val="right" w:pos="9389" w:leader="dot"/>
      </w:tabs>
      <w:spacing w:before="0" w:after="240"/>
      <w:ind w:hanging="720" w:start="6480" w:end="72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spacing w:lineRule="exact" w:line="240" w:before="0" w:after="120"/>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Return">
    <w:name w:val="envelope return"/>
    <w:basedOn w:val="Normal"/>
    <w:pPr/>
    <w:rPr>
      <w:rFonts w:ascii="Arial" w:hAnsi="Arial" w:cs="Arial"/>
      <w:sz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60" w:start="260" w:end="0"/>
    </w:pPr>
    <w:rPr/>
  </w:style>
  <w:style w:type="paragraph" w:styleId="Index2">
    <w:name w:val="index 2"/>
    <w:basedOn w:val="Normal"/>
    <w:next w:val="Normal"/>
    <w:pPr>
      <w:ind w:hanging="260" w:start="520" w:end="0"/>
    </w:pPr>
    <w:rPr/>
  </w:style>
  <w:style w:type="paragraph" w:styleId="Index3">
    <w:name w:val="index 3"/>
    <w:basedOn w:val="Normal"/>
    <w:next w:val="Normal"/>
    <w:pPr>
      <w:ind w:hanging="260" w:start="780" w:end="0"/>
    </w:pPr>
    <w:rPr/>
  </w:style>
  <w:style w:type="paragraph" w:styleId="Index4">
    <w:name w:val="Index 4"/>
    <w:basedOn w:val="Normal"/>
    <w:next w:val="Normal"/>
    <w:qFormat/>
    <w:pPr>
      <w:ind w:hanging="260" w:start="1040" w:end="0"/>
    </w:pPr>
    <w:rPr/>
  </w:style>
  <w:style w:type="paragraph" w:styleId="Index5">
    <w:name w:val="Index 5"/>
    <w:basedOn w:val="Normal"/>
    <w:next w:val="Normal"/>
    <w:qFormat/>
    <w:pPr>
      <w:ind w:hanging="260" w:start="1300" w:end="0"/>
    </w:pPr>
    <w:rPr/>
  </w:style>
  <w:style w:type="paragraph" w:styleId="Index6">
    <w:name w:val="Index 6"/>
    <w:basedOn w:val="Normal"/>
    <w:next w:val="Normal"/>
    <w:qFormat/>
    <w:pPr>
      <w:ind w:hanging="260" w:start="1560" w:end="0"/>
    </w:pPr>
    <w:rPr/>
  </w:style>
  <w:style w:type="paragraph" w:styleId="Index7">
    <w:name w:val="Index 7"/>
    <w:basedOn w:val="Normal"/>
    <w:next w:val="Normal"/>
    <w:qFormat/>
    <w:pPr>
      <w:ind w:hanging="260" w:start="1820" w:end="0"/>
    </w:pPr>
    <w:rPr/>
  </w:style>
  <w:style w:type="paragraph" w:styleId="Index8">
    <w:name w:val="Index 8"/>
    <w:basedOn w:val="Normal"/>
    <w:next w:val="Normal"/>
    <w:qFormat/>
    <w:pPr>
      <w:ind w:hanging="260" w:start="2080" w:end="0"/>
    </w:pPr>
    <w:rPr/>
  </w:style>
  <w:style w:type="paragraph" w:styleId="Index9">
    <w:name w:val="Index 9"/>
    <w:basedOn w:val="Normal"/>
    <w:next w:val="Normal"/>
    <w:qFormat/>
    <w:pPr>
      <w:ind w:hanging="260" w:start="234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szCs w:val="24"/>
    </w:rPr>
  </w:style>
  <w:style w:type="paragraph" w:styleId="NormalWeb">
    <w:name w:val="Normal (Web)"/>
    <w:basedOn w:val="Normal"/>
    <w:qFormat/>
    <w:pPr/>
    <w:rPr>
      <w:sz w:val="24"/>
      <w:szCs w:val="24"/>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szCs w:val="24"/>
    </w:rPr>
  </w:style>
  <w:style w:type="paragraph" w:styleId="TableofFigures">
    <w:name w:val="Table of Figures"/>
    <w:basedOn w:val="Normal"/>
    <w:next w:val="Normal"/>
    <w:qFormat/>
    <w:pPr>
      <w:ind w:hanging="520" w:start="5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 CA.dot</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2001-02-05T19:21:00Z</dcterms:created>
  <dc:creator>Gary Fergus</dc:creator>
  <dc:description/>
  <dc:language>en-CA</dc:language>
  <cp:lastModifiedBy>Gary Fergus</cp:lastModifiedBy>
  <cp:lastPrinted>2001-02-01T21:37:00Z</cp:lastPrinted>
  <dcterms:modified xsi:type="dcterms:W3CDTF">2001-02-06T13:16:00Z</dcterms:modified>
  <cp:revision>8</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vt:lpwstr>
  </property>
  <property fmtid="{D5CDD505-2E9C-101B-9397-08002B2CF9AE}" pid="6" name="Client No.">
    <vt:lpwstr>   </vt:lpwstr>
  </property>
  <property fmtid="{D5CDD505-2E9C-101B-9397-08002B2CF9AE}" pid="7" name="Date">
    <vt:lpwstr>   </vt:lpwstr>
  </property>
  <property fmtid="{D5CDD505-2E9C-101B-9397-08002B2CF9AE}" pid="8" name="Doc Name">
    <vt:lpwstr>   </vt:lpwstr>
  </property>
  <property fmtid="{D5CDD505-2E9C-101B-9397-08002B2CF9AE}" pid="9" name="Doc No.">
    <vt:lpwstr>   </vt:lpwstr>
  </property>
  <property fmtid="{D5CDD505-2E9C-101B-9397-08002B2CF9AE}" pid="10" name="Doc Path">
    <vt:lpwstr>D:\Enron\CalPX\groupdoc</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   </vt:lpwstr>
  </property>
  <property fmtid="{D5CDD505-2E9C-101B-9397-08002B2CF9AE}" pid="15" name="Matter No.">
    <vt:lpwstr>   </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