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80"/>
        </w:pBdr>
        <w:rPr>
          <w:rFonts w:ascii="Arial" w:hAnsi="Arial" w:cs="Arial"/>
          <w:b/>
          <w:color w:val="000080"/>
          <w:sz w:val="48"/>
        </w:rPr>
      </w:pPr>
      <w:r>
        <w:rPr>
          <w:rFonts w:cs="Arial" w:ascii="Arial" w:hAnsi="Arial"/>
          <w:b/>
          <w:color w:val="000080"/>
          <w:sz w:val="48"/>
        </w:rPr>
        <w:t>Technical Corner</w:t>
      </w:r>
    </w:p>
    <w:p>
      <w:pPr>
        <w:pStyle w:val="BodyText"/>
        <w:rPr>
          <w:rFonts w:ascii="Arial" w:hAnsi="Arial" w:cs="Arial"/>
          <w:b/>
          <w:color w:val="000080"/>
          <w:sz w:val="28"/>
        </w:rPr>
      </w:pPr>
      <w:r>
        <w:rPr>
          <w:rFonts w:cs="Arial" w:ascii="Arial" w:hAnsi="Arial"/>
          <w:b/>
          <w:color w:val="000080"/>
          <w:sz w:val="28"/>
        </w:rPr>
      </w:r>
    </w:p>
    <w:p>
      <w:pPr>
        <w:pStyle w:val="Heading"/>
        <w:jc w:val="start"/>
        <w:rPr>
          <w:sz w:val="24"/>
        </w:rPr>
      </w:pPr>
      <w:r>
        <w:rPr>
          <w:sz w:val="24"/>
        </w:rPr>
        <w:t>Competitive Threats to EOL</w:t>
      </w:r>
    </w:p>
    <w:p>
      <w:pPr>
        <w:pStyle w:val="Normal"/>
        <w:jc w:val="center"/>
        <w:rPr>
          <w:sz w:val="28"/>
        </w:rPr>
      </w:pPr>
      <w:r>
        <w:rPr>
          <w:sz w:val="28"/>
        </w:rPr>
      </w:r>
    </w:p>
    <w:p>
      <w:pPr>
        <w:pStyle w:val="Subtitle"/>
        <w:jc w:val="both"/>
        <w:rPr>
          <w:b w:val="false"/>
          <w:sz w:val="24"/>
        </w:rPr>
      </w:pPr>
      <w:r>
        <w:rPr>
          <w:b w:val="false"/>
          <w:sz w:val="24"/>
        </w:rPr>
        <w:t>By MBA Students at Wharton and Rice</w:t>
      </w:r>
    </w:p>
    <w:p>
      <w:pPr>
        <w:pStyle w:val="Normal"/>
        <w:jc w:val="both"/>
        <w:rPr>
          <w:b/>
          <w:sz w:val="24"/>
        </w:rPr>
      </w:pPr>
      <w:r>
        <w:rPr>
          <w:b/>
          <w:sz w:val="24"/>
        </w:rPr>
      </w:r>
    </w:p>
    <w:p>
      <w:pPr>
        <w:pStyle w:val="Normal"/>
        <w:jc w:val="both"/>
        <w:rPr>
          <w:sz w:val="24"/>
        </w:rPr>
      </w:pPr>
      <w:r>
        <w:rPr>
          <w:sz w:val="24"/>
        </w:rPr>
        <w:t>EnronOnline is widely acknowledged to be the vanguard of energy eCommerce.  EOL is the premier example of a one-to-many trading platform, with Enron acting as a principal in every transaction.  For the 2000-01 academic year, the research group sponsored two studies by MBA students at the business schools of the University of Pennsylvania and Rice University.  The students were asked to review the impact of the internet on wholesale energy markets and evaluate the competitive threat posed by the much more common competing business model for online energy trading, the many-to-many trading platform.  This article summarizes the student’s findings and recommendations.</w:t>
      </w:r>
    </w:p>
    <w:p>
      <w:pPr>
        <w:pStyle w:val="Normal"/>
        <w:jc w:val="both"/>
        <w:rPr>
          <w:sz w:val="24"/>
        </w:rPr>
      </w:pPr>
      <w:r>
        <w:rPr>
          <w:sz w:val="24"/>
        </w:rPr>
      </w:r>
    </w:p>
    <w:p>
      <w:pPr>
        <w:pStyle w:val="Normal"/>
        <w:jc w:val="both"/>
        <w:rPr>
          <w:sz w:val="24"/>
        </w:rPr>
      </w:pPr>
      <w:r>
        <w:rPr>
          <w:sz w:val="24"/>
        </w:rPr>
        <w:t>Before the launch of EOL, most Wall Street analysts believed that markets would not embrace any online trading system controlled by a single principal.  Other online trading platforms used an open system approach, such as the classic eBay online auction, that facilitated transactions between buyers and sellers but did not interpose itself in those transactions.  Most senior executives within Enron were also skeptical that EOL would succeed.  In November 1999, EOL’s launch month, Louise Kitchen herself only gave it a 3 in 10 chance.  History has dispelled these concerns.  The tremendous liquidity of EOL has proven the market’s affinity for one-to-many trading platforms.  Immolators have begun to crop up.  But the endurance of the model in a ruthless marketplace remains to be tested.</w:t>
      </w:r>
    </w:p>
    <w:p>
      <w:pPr>
        <w:pStyle w:val="Normal"/>
        <w:jc w:val="both"/>
        <w:rPr>
          <w:sz w:val="24"/>
        </w:rPr>
      </w:pPr>
      <w:r>
        <w:rPr>
          <w:sz w:val="24"/>
        </w:rPr>
      </w:r>
    </w:p>
    <w:p>
      <w:pPr>
        <w:pStyle w:val="Heading1"/>
        <w:ind w:hanging="0" w:start="0"/>
        <w:rPr>
          <w:i/>
          <w:i/>
          <w:iCs/>
        </w:rPr>
      </w:pPr>
      <w:r>
        <w:rPr>
          <w:i/>
          <w:iCs/>
        </w:rPr>
        <w:t>Origins of Modern Energy Markets</w:t>
      </w:r>
    </w:p>
    <w:p>
      <w:pPr>
        <w:pStyle w:val="Normal"/>
        <w:jc w:val="both"/>
        <w:rPr>
          <w:sz w:val="24"/>
        </w:rPr>
      </w:pPr>
      <w:r>
        <w:rPr>
          <w:sz w:val="24"/>
        </w:rPr>
        <w:t>Energy trading began after the end of the official selling price programs by the major oil companies and the Organization of Petroleum Exporting Countries after the 1973 embargo and coincided with the development of spot markets for crude oil and petroleum products.  The New York Mercantile Exchange (NYMEX) was launched in 1978 addressing the changing structure of and the nature of the physical spot market for oil.  Successive oil futures contracts for crude products in New York and London and an active over-the-counter (OTC) market for oil trading during the 1980s brought structural changes to the international and financial trading of crude globally.  On April 4, 1990, NYMEX launched the successful Henry Hub natural gas futures contract, which simultaneously coincided with the development of an active OTC natural gas market.  Electricity trading followed a different path with the emergence of OTC price swaps market in 1993.</w:t>
      </w:r>
    </w:p>
    <w:p>
      <w:pPr>
        <w:pStyle w:val="Normal"/>
        <w:jc w:val="both"/>
        <w:rPr>
          <w:sz w:val="24"/>
        </w:rPr>
      </w:pPr>
      <w:r>
        <w:rPr>
          <w:sz w:val="24"/>
        </w:rPr>
      </w:r>
    </w:p>
    <w:p>
      <w:pPr>
        <w:pStyle w:val="Normal"/>
        <w:jc w:val="both"/>
        <w:rPr>
          <w:sz w:val="24"/>
        </w:rPr>
      </w:pPr>
      <w:r>
        <w:rPr>
          <w:sz w:val="24"/>
        </w:rPr>
        <w:t>More than $400 billion in notional value of energy was traded online in 2000, an increase of 750% in volume over 1999.  By the year 2005, online energy trading is expected to hit a notional value of $3.6 trillion.  Online wholesale trading in power, natural gas and crude oil will reach 50% of total notional trade in 2005 (see Figure 1).</w:t>
      </w:r>
    </w:p>
    <w:p>
      <w:pPr>
        <w:pStyle w:val="Normal"/>
        <w:jc w:val="both"/>
        <w:rPr>
          <w:sz w:val="24"/>
        </w:rPr>
      </w:pPr>
      <w:r>
        <w:rPr>
          <w:sz w:val="24"/>
        </w:rPr>
      </w:r>
    </w:p>
    <w:p>
      <w:pPr>
        <w:pStyle w:val="Normal"/>
        <w:jc w:val="both"/>
        <w:rPr>
          <w:sz w:val="24"/>
        </w:rPr>
      </w:pPr>
      <w:r>
        <w:rPr>
          <w:sz w:val="24"/>
        </w:rPr>
        <w:t xml:space="preserve">The explosion of online energy trading has created a virtual gold rush in the marketplace.  Energy companies all along the value chain, producers to marketers to pipelines, have entered into the online trading of energy commodities by entering into partnerships with each other or in some cases going it alone.  Global Change Associates’ Electronic Energy Trading report has identified over 60 platforms of energy e-commerce.  While some of these sites trade a portfolio of products, most of them concentrate in the financial or physical trading of natural gas, crude and electricity.  </w:t>
      </w:r>
    </w:p>
    <w:p>
      <w:pPr>
        <w:pStyle w:val="Normal"/>
        <w:jc w:val="both"/>
        <w:rPr>
          <w:sz w:val="24"/>
        </w:rPr>
      </w:pPr>
      <w:r>
        <w:rPr>
          <w:sz w:val="24"/>
        </w:rPr>
      </w:r>
    </w:p>
    <w:p>
      <w:pPr>
        <w:pStyle w:val="Heading2"/>
        <w:ind w:hanging="0" w:start="0"/>
        <w:jc w:val="center"/>
        <w:rPr>
          <w:i w:val="false"/>
          <w:i w:val="false"/>
          <w:iCs w:val="false"/>
        </w:rPr>
      </w:pPr>
      <w:r>
        <w:rPr>
          <w:i w:val="false"/>
          <w:iCs w:val="false"/>
        </w:rPr>
        <w:t>Figure 1: US Online Wholesale Energy Trading Forecast, 2001 To 2005</w:t>
      </w:r>
      <w:r>
        <w:rPr>
          <w:rStyle w:val="FootnoteCharacters"/>
          <w:rStyle w:val="FootnoteReference"/>
          <w:i/>
          <w:iCs/>
        </w:rPr>
        <w:footnoteReference w:id="2"/>
      </w:r>
    </w:p>
    <w:p>
      <w:pPr>
        <w:pStyle w:val="Normal"/>
        <w:jc w:val="center"/>
        <w:rPr>
          <w:i/>
          <w:i/>
          <w:iCs/>
        </w:rPr>
      </w:pPr>
      <w:r>
        <w:rPr>
          <w:i/>
          <w:iCs/>
        </w:rPr>
      </w:r>
    </w:p>
    <w:p>
      <w:pPr>
        <w:pStyle w:val="Normal"/>
        <w:jc w:val="center"/>
        <w:rPr>
          <w:sz w:val="24"/>
        </w:rPr>
      </w:pPr>
      <w:r>
        <w:rPr/>
        <w:drawing>
          <wp:inline distT="0" distB="0" distL="0" distR="0">
            <wp:extent cx="7201535" cy="589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6" r="-5" b="-6"/>
                    <a:stretch>
                      <a:fillRect/>
                    </a:stretch>
                  </pic:blipFill>
                  <pic:spPr bwMode="auto">
                    <a:xfrm>
                      <a:off x="0" y="0"/>
                      <a:ext cx="7201535" cy="5893435"/>
                    </a:xfrm>
                    <a:prstGeom prst="rect">
                      <a:avLst/>
                    </a:prstGeom>
                    <a:noFill/>
                  </pic:spPr>
                </pic:pic>
              </a:graphicData>
            </a:graphic>
          </wp:inline>
        </w:drawing>
      </w:r>
    </w:p>
    <w:p>
      <w:pPr>
        <w:pStyle w:val="Normal"/>
        <w:jc w:val="both"/>
        <w:rPr>
          <w:sz w:val="24"/>
        </w:rPr>
      </w:pPr>
      <w:r>
        <w:rPr>
          <w:sz w:val="24"/>
        </w:rPr>
      </w:r>
    </w:p>
    <w:p>
      <w:pPr>
        <w:pStyle w:val="Heading2"/>
        <w:ind w:hanging="0" w:start="0"/>
        <w:rPr/>
      </w:pPr>
      <w:r>
        <w:rPr/>
        <w:t>Competitors</w:t>
      </w:r>
    </w:p>
    <w:p>
      <w:pPr>
        <w:pStyle w:val="Normal"/>
        <w:jc w:val="both"/>
        <w:rPr>
          <w:sz w:val="24"/>
        </w:rPr>
      </w:pPr>
      <w:r>
        <w:rPr>
          <w:sz w:val="24"/>
        </w:rPr>
        <w:t>Three existing platforms were consistently identified as significant competitors to EOL in marketing surveys of over 22 energy traders in more than 7 companies.  In these surveys EOL ranked highest in terms of liquidity, functionality, domain expertise, breadth of products, price transparency, and credit risk.  The imminent arrival of e-NYMEX to the online landscape in May 2001, poses the greatest threat to EOL liquidity, perhaps.  The shear volume of trades transacted on the NYMEX exchange makes the entrant of its online platform a significant event.  The main competitors to EOL include:</w:t>
      </w:r>
    </w:p>
    <w:p>
      <w:pPr>
        <w:pStyle w:val="Normal"/>
        <w:jc w:val="both"/>
        <w:rPr>
          <w:sz w:val="24"/>
        </w:rPr>
      </w:pPr>
      <w:r>
        <w:rPr>
          <w:sz w:val="24"/>
        </w:rPr>
      </w:r>
    </w:p>
    <w:p>
      <w:pPr>
        <w:pStyle w:val="Normal"/>
        <w:jc w:val="both"/>
        <w:rPr>
          <w:sz w:val="24"/>
        </w:rPr>
      </w:pPr>
      <w:r>
        <w:rPr>
          <w:sz w:val="24"/>
        </w:rPr>
        <w:t>Intercontinental Exchange (many-to-many) -  A partnership of thirteen leading energy trading firms including Duke Energy, BP Amoco, Goldman Sachs, and Morgan Stanley, among others.  Trades an array of complex financial and physical products in energy.  While a later entrant into the online energy trading market than EOL, this consortium of financial heavyweights gives the exchange immediate liquidity.</w:t>
      </w:r>
    </w:p>
    <w:p>
      <w:pPr>
        <w:pStyle w:val="Normal"/>
        <w:jc w:val="both"/>
        <w:rPr>
          <w:sz w:val="24"/>
        </w:rPr>
      </w:pPr>
      <w:r>
        <w:rPr>
          <w:sz w:val="24"/>
        </w:rPr>
      </w:r>
    </w:p>
    <w:p>
      <w:pPr>
        <w:pStyle w:val="Normal"/>
        <w:jc w:val="both"/>
        <w:rPr/>
      </w:pPr>
      <w:r>
        <w:rPr>
          <w:sz w:val="24"/>
        </w:rPr>
        <w:t>Dynegy</w:t>
      </w:r>
      <w:r>
        <w:rPr>
          <w:i/>
          <w:iCs/>
          <w:sz w:val="24"/>
        </w:rPr>
        <w:t>direct</w:t>
      </w:r>
      <w:r>
        <w:rPr>
          <w:sz w:val="24"/>
        </w:rPr>
        <w:t xml:space="preserve"> (one-to-many)-  Dynegy’s platform is less than one year old, and is less liquid than EOL and ICE.  The platform scored high in terms of credit risk, domain expertise, and breadth of products.</w:t>
      </w:r>
    </w:p>
    <w:p>
      <w:pPr>
        <w:pStyle w:val="Normal"/>
        <w:jc w:val="both"/>
        <w:rPr>
          <w:sz w:val="24"/>
        </w:rPr>
      </w:pPr>
      <w:r>
        <w:rPr>
          <w:sz w:val="24"/>
        </w:rPr>
      </w:r>
    </w:p>
    <w:p>
      <w:pPr>
        <w:pStyle w:val="Normal"/>
        <w:jc w:val="both"/>
        <w:rPr>
          <w:sz w:val="24"/>
        </w:rPr>
      </w:pPr>
      <w:r>
        <w:rPr>
          <w:sz w:val="24"/>
        </w:rPr>
        <w:t>HoustonStreet.com (many-to-many) -  Emphasis is on information, and not currently liquid.  HoustonStreet.com has begun to offer software solutions for variety of problems in attempt to increase revenues.</w:t>
      </w:r>
    </w:p>
    <w:p>
      <w:pPr>
        <w:pStyle w:val="Normal"/>
        <w:jc w:val="both"/>
        <w:rPr>
          <w:sz w:val="24"/>
        </w:rPr>
      </w:pPr>
      <w:r>
        <w:rPr>
          <w:sz w:val="24"/>
        </w:rPr>
      </w:r>
    </w:p>
    <w:p>
      <w:pPr>
        <w:pStyle w:val="Normal"/>
        <w:jc w:val="both"/>
        <w:rPr>
          <w:sz w:val="24"/>
        </w:rPr>
      </w:pPr>
      <w:r>
        <w:rPr>
          <w:sz w:val="24"/>
        </w:rPr>
        <w:t>e-NYMEX (many-to-many) -  Supported by the world’s largetst exchange of physical energy commodities.  Its mission is the realization of a one-stop shop for commodity risk management.  The platform has partnerships with Platts for benchmarking services and Kiodex and Accenture for software services.  It currently plans to launch 16 swap contracts in May 2001.</w:t>
      </w:r>
    </w:p>
    <w:p>
      <w:pPr>
        <w:pStyle w:val="Normal"/>
        <w:jc w:val="both"/>
        <w:rPr>
          <w:sz w:val="24"/>
        </w:rPr>
      </w:pPr>
      <w:r>
        <w:rPr>
          <w:sz w:val="24"/>
        </w:rPr>
      </w:r>
    </w:p>
    <w:p>
      <w:pPr>
        <w:pStyle w:val="Heading2"/>
        <w:ind w:hanging="0" w:start="0"/>
        <w:rPr/>
      </w:pPr>
      <w:r>
        <w:rPr/>
        <w:t>Recommendations</w:t>
      </w:r>
    </w:p>
    <w:p>
      <w:pPr>
        <w:pStyle w:val="Normal"/>
        <w:jc w:val="both"/>
        <w:rPr>
          <w:sz w:val="24"/>
        </w:rPr>
      </w:pPr>
      <w:r>
        <w:rPr>
          <w:sz w:val="24"/>
        </w:rPr>
      </w:r>
    </w:p>
    <w:p>
      <w:pPr>
        <w:pStyle w:val="Normal"/>
        <w:jc w:val="both"/>
        <w:rPr>
          <w:sz w:val="24"/>
        </w:rPr>
      </w:pPr>
      <w:r>
        <w:rPr>
          <w:sz w:val="24"/>
        </w:rPr>
        <w:t>EOL dominates the online energy trading market with a 95% share of online trades in energy commodities.  While it may be hard to retain this level of market share in a maturing industry, EOL can leverage its existing in-house strengths and succeed by:</w:t>
      </w:r>
    </w:p>
    <w:p>
      <w:pPr>
        <w:pStyle w:val="Normal"/>
        <w:jc w:val="both"/>
        <w:rPr>
          <w:sz w:val="24"/>
        </w:rPr>
      </w:pPr>
      <w:r>
        <w:rPr>
          <w:sz w:val="24"/>
        </w:rPr>
      </w:r>
    </w:p>
    <w:p>
      <w:pPr>
        <w:pStyle w:val="Normal"/>
        <w:numPr>
          <w:ilvl w:val="0"/>
          <w:numId w:val="12"/>
        </w:numPr>
        <w:jc w:val="both"/>
        <w:rPr>
          <w:sz w:val="24"/>
        </w:rPr>
      </w:pPr>
      <w:r>
        <w:rPr>
          <w:sz w:val="24"/>
        </w:rPr>
        <w:t>More fully integrating the trading platform with customer information systems</w:t>
      </w:r>
    </w:p>
    <w:p>
      <w:pPr>
        <w:pStyle w:val="Normal"/>
        <w:numPr>
          <w:ilvl w:val="0"/>
          <w:numId w:val="12"/>
        </w:numPr>
        <w:jc w:val="both"/>
        <w:rPr>
          <w:sz w:val="24"/>
        </w:rPr>
      </w:pPr>
      <w:r>
        <w:rPr>
          <w:sz w:val="24"/>
        </w:rPr>
        <w:t>Targeting institutional energy traders</w:t>
      </w:r>
    </w:p>
    <w:p>
      <w:pPr>
        <w:pStyle w:val="Normal"/>
        <w:numPr>
          <w:ilvl w:val="0"/>
          <w:numId w:val="12"/>
        </w:numPr>
        <w:jc w:val="both"/>
        <w:rPr>
          <w:sz w:val="24"/>
        </w:rPr>
      </w:pPr>
      <w:r>
        <w:rPr>
          <w:sz w:val="24"/>
        </w:rPr>
        <w:t>Educating small producers to hedge risks</w:t>
      </w:r>
    </w:p>
    <w:p>
      <w:pPr>
        <w:pStyle w:val="Normal"/>
        <w:numPr>
          <w:ilvl w:val="0"/>
          <w:numId w:val="12"/>
        </w:numPr>
        <w:jc w:val="both"/>
        <w:rPr>
          <w:sz w:val="24"/>
        </w:rPr>
      </w:pPr>
      <w:r>
        <w:rPr>
          <w:sz w:val="24"/>
        </w:rPr>
        <w:t>Expanding product offerings leveraging existing strengths in energy</w:t>
      </w:r>
    </w:p>
    <w:p>
      <w:pPr>
        <w:pStyle w:val="Normal"/>
        <w:jc w:val="both"/>
        <w:rPr>
          <w:sz w:val="24"/>
        </w:rPr>
      </w:pPr>
      <w:r>
        <w:rPr>
          <w:sz w:val="24"/>
        </w:rPr>
      </w:r>
    </w:p>
    <w:p>
      <w:pPr>
        <w:pStyle w:val="Normal"/>
        <w:jc w:val="both"/>
        <w:rPr>
          <w:sz w:val="24"/>
        </w:rPr>
      </w:pPr>
      <w:r>
        <w:rPr>
          <w:sz w:val="24"/>
        </w:rPr>
        <w:t>Energy market regulations are a wildcard for EOL and other energy companies.  Today, most of the top energy companies are forming alliances and setting up online exchanges in an effort to grab a slice of this highly lucrative business.  With energy prices hovering at historical highs and the California power crisis factored in, any branch of state or federal government may try to intervene to keep markets competitive and insure that public interests are maintained.</w:t>
      </w:r>
    </w:p>
    <w:p>
      <w:pPr>
        <w:pStyle w:val="Normal"/>
        <w:jc w:val="both"/>
        <w:rPr>
          <w:sz w:val="24"/>
        </w:rPr>
      </w:pPr>
      <w:r>
        <w:rPr>
          <w:sz w:val="24"/>
        </w:rPr>
      </w:r>
    </w:p>
    <w:p>
      <w:pPr>
        <w:pStyle w:val="Normal"/>
        <w:jc w:val="both"/>
        <w:rPr>
          <w:sz w:val="24"/>
        </w:rPr>
      </w:pPr>
      <w:r>
        <w:rPr>
          <w:sz w:val="24"/>
        </w:rPr>
      </w:r>
    </w:p>
    <w:p>
      <w:pPr>
        <w:pStyle w:val="Heading3"/>
        <w:ind w:hanging="0" w:start="720" w:end="720"/>
        <w:rPr/>
      </w:pPr>
      <w:r>
        <w:rPr/>
        <w:t>Readers interested in obtaining copies of the student’s final reports should contact Kenneth Parkhill at ext 5-4638.</w:t>
      </w:r>
    </w:p>
    <w:p>
      <w:pPr>
        <w:pStyle w:val="Normal"/>
        <w:jc w:val="both"/>
        <w:rPr>
          <w:sz w:val="24"/>
        </w:rPr>
      </w:pPr>
      <w:r>
        <w:rPr>
          <w:sz w:val="24"/>
        </w:rPr>
      </w:r>
    </w:p>
    <w:p>
      <w:pPr>
        <w:pStyle w:val="Normal"/>
        <w:jc w:val="both"/>
        <w:rPr>
          <w:sz w:val="24"/>
        </w:rPr>
      </w:pPr>
      <w:r>
        <w:rPr>
          <w:sz w:val="24"/>
        </w:rPr>
      </w:r>
    </w:p>
    <w:sectPr>
      <w:footnotePr>
        <w:numFmt w:val="decimal"/>
      </w:footnotePr>
      <w:type w:val="nextPage"/>
      <w:pgSz w:w="12240" w:h="15840"/>
      <w:pgMar w:left="1008"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mic Sans MS">
    <w:charset w:val="00" w:characterSet="windows-1252"/>
    <w:family w:val="script"/>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"Net Energy Hits Hypergrowth:  Market Overview."  Forrester Research, Inc.  April 2001.</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4"/>
    </w:rPr>
  </w:style>
  <w:style w:type="paragraph" w:styleId="Heading2">
    <w:name w:val="heading 2"/>
    <w:basedOn w:val="Normal"/>
    <w:next w:val="Normal"/>
    <w:qFormat/>
    <w:pPr>
      <w:keepNext w:val="true"/>
      <w:numPr>
        <w:ilvl w:val="1"/>
        <w:numId w:val="1"/>
      </w:numPr>
      <w:jc w:val="both"/>
      <w:outlineLvl w:val="1"/>
    </w:pPr>
    <w:rPr>
      <w:b/>
      <w:bCs/>
      <w:i/>
      <w:iCs/>
      <w:sz w:val="24"/>
    </w:rPr>
  </w:style>
  <w:style w:type="paragraph" w:styleId="Heading3">
    <w:name w:val="heading 3"/>
    <w:basedOn w:val="Normal"/>
    <w:next w:val="Normal"/>
    <w:qFormat/>
    <w:pPr>
      <w:keepNext w:val="true"/>
      <w:numPr>
        <w:ilvl w:val="2"/>
        <w:numId w:val="1"/>
      </w:numPr>
      <w:jc w:val="both"/>
      <w:outlineLvl w:val="2"/>
    </w:pPr>
    <w:rPr>
      <w:i/>
      <w:i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5z0">
    <w:name w:val="WW8Num15z0"/>
    <w:qFormat/>
    <w:rPr>
      <w:rFonts w:ascii="Wingdings" w:hAnsi="Wingdings" w:cs="Wingdings"/>
      <w:sz w:val="16"/>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style>
  <w:style w:type="character" w:styleId="WW8Num49z2">
    <w:name w:val="WW8Num49z2"/>
    <w:qFormat/>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9z0">
    <w:name w:val="WW8Num59z0"/>
    <w:qFormat/>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sz w:val="22"/>
    </w:rPr>
  </w:style>
  <w:style w:type="character" w:styleId="WW8Num64z0">
    <w:name w:val="WW8Num64z0"/>
    <w:qFormat/>
    <w:rPr/>
  </w:style>
  <w:style w:type="character" w:styleId="WW8Num65z0">
    <w:name w:val="WW8Num65z0"/>
    <w:qFormat/>
    <w:rPr>
      <w:rFonts w:ascii="Symbol" w:hAnsi="Symbol" w:cs="Symbol"/>
    </w:rPr>
  </w:style>
  <w:style w:type="character" w:styleId="WW8Num68z0">
    <w:name w:val="WW8Num68z0"/>
    <w:qFormat/>
    <w:rPr>
      <w:rFonts w:ascii="Wingdings" w:hAnsi="Wingdings" w:cs="Wingdings"/>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6z0">
    <w:name w:val="WW8Num76z0"/>
    <w:qFormat/>
    <w:rPr/>
  </w:style>
  <w:style w:type="character" w:styleId="WW8NumSt66z0">
    <w:name w:val="WW8NumSt66z0"/>
    <w:qFormat/>
    <w:rPr>
      <w:rFonts w:ascii="Times New Roman" w:hAnsi="Times New Roman" w:cs="Times New Roman"/>
      <w:sz w:val="24"/>
    </w:rPr>
  </w:style>
  <w:style w:type="character" w:styleId="WW8NumSt67z0">
    <w:name w:val="WW8NumSt67z0"/>
    <w:qFormat/>
    <w:rPr>
      <w:rFonts w:ascii="Comic Sans MS" w:hAnsi="Comic Sans MS" w:cs="Comic Sans MS"/>
      <w:sz w:val="3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b/>
    </w:rPr>
  </w:style>
  <w:style w:type="paragraph" w:styleId="BodyText">
    <w:name w:val="Body Text"/>
    <w:basedOn w:val="Normal"/>
    <w:pPr>
      <w:tabs>
        <w:tab w:val="clear" w:pos="720"/>
        <w:tab w:val="left" w:pos="144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Subtitle">
    <w:name w:val="Subtitle"/>
    <w:basedOn w:val="Normal"/>
    <w:next w:val="BodyText"/>
    <w:qFormat/>
    <w:pPr>
      <w:outlineLvl w:val="0"/>
    </w:pPr>
    <w:rPr>
      <w:b/>
      <w:i/>
      <w:sz w:val="22"/>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2001-05-23T10:28:00Z</dcterms:created>
  <dc:creator>Kenneth Parkhill</dc:creator>
  <dc:description/>
  <cp:keywords>volatility correlation historical data estimation</cp:keywords>
  <dc:language>en-CA</dc:language>
  <cp:lastModifiedBy>Kenneth Parkhill</cp:lastModifiedBy>
  <cp:lastPrinted>2001-05-23T12:48:00Z</cp:lastPrinted>
  <dcterms:modified xsi:type="dcterms:W3CDTF">2001-05-23T15:18:00Z</dcterms:modified>
  <cp:revision>10</cp:revision>
  <dc:subject/>
  <dc:title>Estimating Volatilities and Correlations</dc:title>
</cp:coreProperties>
</file>