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"/>
        <w:rPr/>
      </w:pPr>
      <w:r>
        <w:rPr/>
        <w:t>Proposed Bonus Ranges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Proposed Bonus Ranges - 2000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tbl>
      <w:tblPr>
        <w:tblW w:w="10350" w:type="dxa"/>
        <w:jc w:val="start"/>
        <w:tblInd w:w="12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1170"/>
        <w:gridCol w:w="1260"/>
        <w:gridCol w:w="1350"/>
        <w:gridCol w:w="1260"/>
        <w:gridCol w:w="1440"/>
        <w:gridCol w:w="1890"/>
      </w:tblGrid>
      <w:tr>
        <w:trPr>
          <w:trHeight w:val="332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Superior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Excellent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Strong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Satisfactory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Needs Improvement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Issues</w:t>
            </w:r>
          </w:p>
        </w:tc>
      </w:tr>
      <w:tr>
        <w:trPr>
          <w:trHeight w:val="160" w:hRule="exact"/>
        </w:trPr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2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Associate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$40,000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$25,000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$12,000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$  6,000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/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  <w:vertAlign w:val="superscript"/>
              </w:rPr>
              <w:t>rd</w:t>
            </w:r>
            <w:r>
              <w:rPr>
                <w:b/>
                <w:sz w:val="18"/>
              </w:rPr>
              <w:t>-Year Analyst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18,000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9,000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4,000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Analyst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12,000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6,000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3,000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Bonus Ranges – 1999</w:t>
      </w:r>
    </w:p>
    <w:p>
      <w:pPr>
        <w:pStyle w:val="Normal"/>
        <w:rPr/>
      </w:pPr>
      <w:r>
        <w:rPr/>
      </w:r>
    </w:p>
    <w:tbl>
      <w:tblPr>
        <w:tblW w:w="10350" w:type="dxa"/>
        <w:jc w:val="start"/>
        <w:tblInd w:w="12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1710"/>
        <w:gridCol w:w="1620"/>
        <w:gridCol w:w="1710"/>
        <w:gridCol w:w="2430"/>
      </w:tblGrid>
      <w:tr>
        <w:trPr>
          <w:trHeight w:val="332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Outstanding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Excellent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Needs Improvement</w:t>
            </w:r>
          </w:p>
        </w:tc>
      </w:tr>
      <w:tr>
        <w:trPr>
          <w:trHeight w:val="160" w:hRule="exact"/>
        </w:trPr>
        <w:tc>
          <w:tcPr>
            <w:tcW w:w="28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2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Associate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$30,000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$20,000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$  8,000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sz w:val="18"/>
              </w:rPr>
              <w:t>$  0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Analyst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16,000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3,000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0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Comm. Support Analyst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6,400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3,200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/>
        <w:t>Compensation Comparisons – Associates</w:t>
      </w:r>
      <w:r>
        <w:rPr>
          <w:rStyle w:val="FootnoteCharacters"/>
          <w:rStyle w:val="FootnoteReference"/>
          <w:sz w:val="24"/>
        </w:rPr>
        <w:footnoteReference w:customMarkFollows="1" w:id="2"/>
        <w:t>1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</w:r>
    </w:p>
    <w:tbl>
      <w:tblPr>
        <w:tblW w:w="1413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40"/>
        <w:gridCol w:w="1710"/>
        <w:gridCol w:w="1620"/>
        <w:gridCol w:w="1710"/>
        <w:gridCol w:w="1530"/>
        <w:gridCol w:w="1620"/>
        <w:gridCol w:w="3600"/>
      </w:tblGrid>
      <w:tr>
        <w:trPr>
          <w:trHeight w:val="50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FootnoteText"/>
              <w:spacing w:before="60"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Base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Sign-on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Guaranteed 2001 Bonus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Max. Full-year Perf. Bonus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Extras</w:t>
            </w:r>
          </w:p>
        </w:tc>
      </w:tr>
      <w:tr>
        <w:trPr>
          <w:trHeight w:val="300" w:hRule="exact"/>
        </w:trPr>
        <w:tc>
          <w:tcPr>
            <w:tcW w:w="2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ind w:start="27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Enron - Proposed</w:t>
            </w:r>
            <w:r>
              <w:rPr>
                <w:rStyle w:val="FootnoteCharacters"/>
                <w:rStyle w:val="FootnoteReference"/>
                <w:b/>
                <w:sz w:val="18"/>
              </w:rPr>
              <w:footnoteReference w:customMarkFollows="1" w:id="3"/>
              <w:t>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 80,000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 20,000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$10,000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$110,000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$ 40,000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Eligible for options</w:t>
            </w:r>
          </w:p>
        </w:tc>
      </w:tr>
      <w:tr>
        <w:trPr>
          <w:trHeight w:val="16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ind w:hanging="126" w:start="342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ind w:start="27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Enron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 76,000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 20,000</w:t>
            </w:r>
            <w:r>
              <w:rPr>
                <w:rStyle w:val="FootnoteCharacters"/>
                <w:rStyle w:val="FootnoteReference"/>
                <w:b/>
                <w:sz w:val="18"/>
              </w:rPr>
              <w:footnoteReference w:customMarkFollows="1" w:id="4"/>
              <w:t>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$10,000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$106,000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$ 30,000</w:t>
            </w:r>
            <w:r>
              <w:rPr>
                <w:rStyle w:val="FootnoteCharacters"/>
                <w:rStyle w:val="FootnoteReference"/>
                <w:b/>
                <w:sz w:val="18"/>
              </w:rPr>
              <w:footnoteReference w:customMarkFollows="1" w:id="5"/>
              <w:t>4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Eligible for options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Dynergy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15,000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</w:t>
            </w:r>
            <w:r>
              <w:rPr>
                <w:sz w:val="18"/>
              </w:rPr>
              <w:t>17,000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El Paso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82,500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20,000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102,500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12,400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Reliant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82,000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20,000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102,000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24,000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BP Amoco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77,000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15,000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34" w:end="0"/>
              <w:jc w:val="center"/>
              <w:rPr>
                <w:sz w:val="22"/>
              </w:rPr>
            </w:pPr>
            <w:r>
              <w:rPr>
                <w:rStyle w:val="FootnoteCharacters"/>
                <w:rStyle w:val="FootnoteReference"/>
                <w:sz w:val="22"/>
              </w:rPr>
              <w:footnoteReference w:customMarkFollows="1" w:id="6"/>
              <w:t>*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11,600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snapToGrid w:val="false"/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Entergy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82,000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15,000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10,000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107,000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16,400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60" w:after="0"/>
              <w:outlineLvl w:val="2"/>
              <w:rPr>
                <w:sz w:val="18"/>
              </w:rPr>
            </w:pPr>
            <w:r>
              <w:rPr>
                <w:sz w:val="18"/>
              </w:rPr>
              <w:t>Project NPV sharing; stock options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Southern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15,000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10,000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110,000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25,500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Williams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20,000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306" w:end="0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16,000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McKinsey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110,000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15,000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125,000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Goldman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145,000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90,000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At the money options ($20,000/current stock price)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Salomon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25,000</w:t>
            </w:r>
            <w:r>
              <w:rPr>
                <w:rStyle w:val="FootnoteCharacters"/>
                <w:rStyle w:val="FootnoteReference"/>
                <w:sz w:val="18"/>
              </w:rPr>
              <w:footnoteReference w:customMarkFollows="1" w:id="7"/>
              <w:t>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35,000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145,000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105,000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CF First Boston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25,000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35,000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145,000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105,000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5K levered to 50K in PE Fund (5K taken from stub bonus)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Merrill Lynch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25,000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140,000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90,000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Payouts on 100K invested in PE fund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Morgan Stanley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85,000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25,000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140,000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90,000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JP Morgan/Chase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16" w:end="0"/>
              <w:rPr>
                <w:sz w:val="18"/>
              </w:rPr>
            </w:pPr>
            <w:r>
              <w:rPr>
                <w:sz w:val="18"/>
              </w:rPr>
              <w:t>85,000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  <w:t>25,000</w:t>
            </w:r>
            <w:r>
              <w:rPr>
                <w:rStyle w:val="FootnoteCharacters"/>
                <w:rStyle w:val="FootnoteReference"/>
                <w:sz w:val="18"/>
              </w:rPr>
              <w:footnoteReference w:customMarkFollows="1" w:id="8"/>
              <w:t>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35,000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145,000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</w:t>
            </w:r>
            <w:r>
              <w:rPr>
                <w:sz w:val="18"/>
              </w:rPr>
              <w:t>105,000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Heading"/>
        <w:rPr/>
      </w:pPr>
      <w:r>
        <w:br w:type="page"/>
      </w: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Compensation Comparisons – Analysts</w:t>
      </w:r>
      <w:r>
        <w:rPr>
          <w:rStyle w:val="FootnoteCharacters"/>
          <w:rStyle w:val="FootnoteReference"/>
          <w:sz w:val="20"/>
        </w:rPr>
        <w:footnoteReference w:customMarkFollows="1" w:id="9"/>
        <w:t>1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</w:r>
    </w:p>
    <w:tbl>
      <w:tblPr>
        <w:tblW w:w="10368" w:type="dxa"/>
        <w:jc w:val="start"/>
        <w:tblInd w:w="12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40"/>
        <w:gridCol w:w="1872"/>
        <w:gridCol w:w="1872"/>
        <w:gridCol w:w="1944"/>
        <w:gridCol w:w="2340"/>
      </w:tblGrid>
      <w:tr>
        <w:trPr>
          <w:trHeight w:val="50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FootnoteText"/>
              <w:spacing w:before="60"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Base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Sign-on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6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Max. Full-year           Perf. Bonus</w:t>
            </w:r>
          </w:p>
        </w:tc>
      </w:tr>
      <w:tr>
        <w:trPr>
          <w:trHeight w:val="300" w:hRule="exact"/>
        </w:trPr>
        <w:tc>
          <w:tcPr>
            <w:tcW w:w="2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ind w:start="27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Enron - Proposed</w:t>
            </w:r>
            <w:r>
              <w:rPr>
                <w:rStyle w:val="FootnoteCharacters"/>
                <w:rStyle w:val="FootnoteReference"/>
                <w:b/>
                <w:sz w:val="18"/>
              </w:rPr>
              <w:footnoteReference w:customMarkFollows="1" w:id="10"/>
              <w:t>2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 45,000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  5,000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 50,000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$ 20,000</w:t>
            </w:r>
          </w:p>
        </w:tc>
      </w:tr>
      <w:tr>
        <w:trPr>
          <w:trHeight w:val="16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ind w:start="27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spacing w:before="60" w:after="6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Enron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 40,000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  5,000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rFonts w:eastAsia="Arial"/>
                <w:b/>
                <w:sz w:val="18"/>
              </w:rPr>
              <w:t xml:space="preserve">    </w:t>
            </w:r>
            <w:r>
              <w:rPr>
                <w:b/>
                <w:sz w:val="18"/>
              </w:rPr>
              <w:t>45,000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$ 16,000</w:t>
            </w:r>
            <w:r>
              <w:rPr>
                <w:rStyle w:val="FootnoteCharacters"/>
                <w:rStyle w:val="FootnoteReference"/>
                <w:b/>
                <w:sz w:val="18"/>
              </w:rPr>
              <w:footnoteReference w:customMarkFollows="1" w:id="11"/>
              <w:t>3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Dynegy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48,000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 </w:t>
            </w:r>
            <w:r>
              <w:rPr>
                <w:sz w:val="18"/>
              </w:rPr>
              <w:t>1,500 – 5,000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49,500 – 53,000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Not Available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Reliant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42,000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144" w:start="36" w:end="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3,000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45,000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6,300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El Paso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126" w:start="342" w:end="0"/>
              <w:rPr>
                <w:sz w:val="18"/>
              </w:rPr>
            </w:pPr>
            <w:r>
              <w:rPr>
                <w:sz w:val="18"/>
              </w:rPr>
              <w:t>45,000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144" w:start="36" w:end="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5,000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50,000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3,500 – 4,000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I-Banks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55,000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 </w:t>
            </w:r>
            <w:r>
              <w:rPr>
                <w:sz w:val="18"/>
              </w:rPr>
              <w:t>5,000 – 10,000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60,000 – 65,000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25,000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Chase</w:t>
            </w:r>
            <w:r>
              <w:rPr>
                <w:rStyle w:val="FootnoteCharacters"/>
                <w:rStyle w:val="FootnoteReference"/>
                <w:sz w:val="18"/>
              </w:rPr>
              <w:footnoteReference w:customMarkFollows="1" w:id="12"/>
              <w:t>4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55,000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</w:t>
            </w:r>
            <w:r>
              <w:rPr>
                <w:sz w:val="18"/>
              </w:rPr>
              <w:t>10,000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65,000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25,000</w:t>
            </w:r>
          </w:p>
        </w:tc>
      </w:tr>
      <w:tr>
        <w:trPr>
          <w:trHeight w:val="440" w:hRule="exact"/>
        </w:trPr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sz w:val="18"/>
              </w:rPr>
              <w:t>McKinsey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58,000</w:t>
            </w:r>
          </w:p>
        </w:tc>
        <w:tc>
          <w:tcPr>
            <w:tcW w:w="1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180" w:start="36" w:end="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5,000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   </w:t>
            </w:r>
            <w:r>
              <w:rPr>
                <w:sz w:val="18"/>
              </w:rPr>
              <w:t>63,000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firstLine="216" w:end="0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orient="landscape" w:w="15840" w:h="12240"/>
      <w:pgMar w:left="1440" w:right="1440" w:gutter="0" w:header="0" w:top="36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t>1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As of December 8, 2000</w:t>
      </w:r>
    </w:p>
  </w:footnote>
  <w:footnote w:id="3">
    <w:p>
      <w:pPr>
        <w:pStyle w:val="FootnoteText"/>
        <w:rPr/>
      </w:pPr>
      <w:r>
        <w:rPr>
          <w:rStyle w:val="FootnoteCharacters"/>
        </w:rPr>
        <w:t>2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Proposed increase in base salary for Associates starting in 2001 and in maximum bonus for current Associates for 12/00.</w:t>
      </w:r>
    </w:p>
  </w:footnote>
  <w:footnote w:id="4">
    <w:p>
      <w:pPr>
        <w:pStyle w:val="FootnoteText"/>
        <w:rPr/>
      </w:pPr>
      <w:r>
        <w:rPr>
          <w:rStyle w:val="FootnoteCharacters"/>
        </w:rPr>
        <w:t>3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Former Summer Associates receive additional $10,000 if they accept by October 15th</w:t>
      </w:r>
    </w:p>
  </w:footnote>
  <w:footnote w:id="5">
    <w:p>
      <w:pPr>
        <w:pStyle w:val="FootnoteText"/>
        <w:rPr/>
      </w:pPr>
      <w:r>
        <w:rPr>
          <w:rStyle w:val="FootnoteCharacters"/>
        </w:rPr>
        <w:t>4</w:t>
      </w:r>
      <w:r>
        <w:rPr/>
        <w:t xml:space="preserve"> </w:t>
      </w:r>
      <w:r>
        <w:rPr>
          <w:rFonts w:cs="Arial" w:ascii="Arial" w:hAnsi="Arial"/>
          <w:sz w:val="16"/>
        </w:rPr>
        <w:t>Maximum bonus paid for the year-ending 12/31/99.</w:t>
      </w:r>
    </w:p>
  </w:footnote>
  <w:footnote w:id="6">
    <w:p>
      <w:pPr>
        <w:pStyle w:val="FootnoteText"/>
        <w:rPr/>
      </w:pPr>
      <w:r>
        <w:rPr>
          <w:rStyle w:val="FootnoteCharacters"/>
        </w:rPr>
        <w:t>*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Information not available</w:t>
      </w:r>
    </w:p>
  </w:footnote>
  <w:footnote w:id="7">
    <w:p>
      <w:pPr>
        <w:pStyle w:val="FootnoteText"/>
        <w:rPr/>
      </w:pPr>
      <w:r>
        <w:rPr>
          <w:rStyle w:val="FootnoteCharacters"/>
        </w:rPr>
        <w:t>5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Former Summer Associates receive additional $5,000 if they accept by November 15th</w:t>
      </w:r>
    </w:p>
  </w:footnote>
  <w:footnote w:id="8">
    <w:p>
      <w:pPr>
        <w:pStyle w:val="FootnoteText"/>
        <w:rPr/>
      </w:pPr>
      <w:r>
        <w:rPr>
          <w:rStyle w:val="FootnoteCharacters"/>
        </w:rPr>
        <w:t>6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Total sign-on is $100,000 ($75,000 forgivable over 3 years)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t>1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As of December 8, 2000</w:t>
      </w:r>
    </w:p>
  </w:footnote>
  <w:footnote w:id="10">
    <w:p>
      <w:pPr>
        <w:pStyle w:val="FootnoteText"/>
        <w:rPr/>
      </w:pPr>
      <w:r>
        <w:rPr>
          <w:rStyle w:val="FootnoteCharacters"/>
        </w:rPr>
        <w:t>2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Proposed increase in base salary for Analysts starting in 2001 and in maximum bonus for current Analysts for 12/00.</w:t>
      </w:r>
    </w:p>
  </w:footnote>
  <w:footnote w:id="11">
    <w:p>
      <w:pPr>
        <w:pStyle w:val="FootnoteText"/>
        <w:rPr/>
      </w:pPr>
      <w:r>
        <w:rPr>
          <w:rStyle w:val="FootnoteCharacters"/>
        </w:rPr>
        <w:t>3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Maximum bonus paid for the year-ending 12/31/99.  </w:t>
      </w:r>
    </w:p>
  </w:footnote>
  <w:footnote w:id="12">
    <w:p>
      <w:pPr>
        <w:pStyle w:val="FootnoteText"/>
        <w:rPr/>
      </w:pPr>
      <w:r>
        <w:rPr>
          <w:rStyle w:val="FootnoteCharacters"/>
        </w:rPr>
        <w:t>4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Chase is effectively an I-Bank after the merger with JP Morgan and is paying the same compensation as I-Banks.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rFonts w:ascii="Times New Roman" w:hAnsi="Times New Roman" w:cs="Times New Roman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2000-12-12T10:58:00Z</dcterms:created>
  <dc:creator>cjackso</dc:creator>
  <dc:description/>
  <dc:language>en-CA</dc:language>
  <cp:lastModifiedBy>CJacks2</cp:lastModifiedBy>
  <cp:lastPrinted>2000-12-10T22:00:00Z</cp:lastPrinted>
  <dcterms:modified xsi:type="dcterms:W3CDTF">2000-12-12T10:58:00Z</dcterms:modified>
  <cp:revision>2</cp:revision>
  <dc:subject/>
  <dc:title>Compensation Comparisons – Associates1</dc:title>
</cp:coreProperties>
</file>