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Comparison Exhibit</w:t>
      </w:r>
    </w:p>
    <w:p>
      <w:pPr>
        <w:pStyle w:val="Normal"/>
        <w:jc w:val="center"/>
        <w:rPr/>
      </w:pPr>
      <w:r>
        <w:rPr>
          <w:b/>
          <w:bCs/>
        </w:rPr>
        <w:t>Summary of [</w:t>
      </w:r>
      <w:r>
        <w:rPr>
          <w:b/>
          <w:bCs/>
          <w:u w:val="single"/>
        </w:rPr>
        <w:t>insert name of Party</w:t>
      </w:r>
      <w:r>
        <w:rPr>
          <w:b/>
          <w:bCs/>
        </w:rPr>
        <w:t>] Proposal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8928" w:type="dxa"/>
        <w:jc w:val="start"/>
        <w:tblInd w:w="36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4"/>
        <w:gridCol w:w="3258"/>
        <w:gridCol w:w="2716"/>
        <w:gridCol w:w="2340"/>
      </w:tblGrid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Revenue Requirement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PG&amp;E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Edison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Current Revenue Starting Point (show calculation and result in $)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Total Revenue Increase (show calculation and result in $)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Revenue Increase based on 3-cents/kWh or 4-cents/kWh?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Revenue Allocation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Inter-class Allocation Methodology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Source of allocator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Allocation of Residential Revenues below 130% of Baseline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Scope of CARE Exemption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Allocation of CARE Subsidy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snapToGrid w:val="false"/>
              <w:rPr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Rate Design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Number of Residential Tiers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Commercial Tiers? (Y or N)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Commercial Tiering methodology, if applicable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Definition of Periods to which increases are allocated.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Definition of TOU Periods (hours of day)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Identify Total # of Hours Receiving Rate Increase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Were TOU Rates Tiered?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Benchmarked Rates, if any (e.g., based on a customer’s prior year’s usage)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Capping Levels, if any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SIC Codes, if any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snapToGrid w:val="false"/>
              <w:rPr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Other Concepts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Allocation of March 27 – June 1 Undercollection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Application of rate increases to Direct Access customers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Application of rate increases to departing customers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Expiration of 10% residential rate reduction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tabs>
          <w:tab w:val="clear" w:pos="720"/>
          <w:tab w:val="left" w:pos="3078" w:leader="none"/>
          <w:tab w:val="left" w:pos="5621" w:leader="none"/>
        </w:tabs>
        <w:rPr>
          <w:szCs w:val="20"/>
        </w:rPr>
      </w:pPr>
      <w:r>
        <w:rPr>
          <w:szCs w:val="20"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Comparison_Exhibit_WORD_template.doc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rPr/>
    </w:pPr>
    <w:r>
      <w:rPr/>
      <w:t>Energy Division Draft</w:t>
      <w:tab/>
      <w:tab/>
    </w:r>
    <w:r>
      <w:rPr/>
      <w:fldChar w:fldCharType="begin"/>
    </w:r>
    <w:r>
      <w:rPr/>
      <w:instrText xml:space="preserve"> DATE \@"M\/d\/yy" </w:instrText>
    </w:r>
    <w:r>
      <w:rPr/>
      <w:fldChar w:fldCharType="separate"/>
    </w:r>
    <w:r>
      <w:rPr/>
      <w:t>9/28/25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720"/>
        </w:tabs>
        <w:ind w:start="720" w:hanging="360"/>
      </w:pPr>
      <w:rPr/>
    </w:lvl>
    <w:lvl w:ilvl="2">
      <w:start w:val="1"/>
      <w:numFmt w:val="lowerRoman"/>
      <w:lvlText w:val="%3)"/>
      <w:lvlJc w:val="start"/>
      <w:pPr>
        <w:tabs>
          <w:tab w:val="num" w:pos="1080"/>
        </w:tabs>
        <w:ind w:start="1080" w:hanging="360"/>
      </w:pPr>
      <w:rPr/>
    </w:lvl>
    <w:lvl w:ilvl="3">
      <w:start w:val="1"/>
      <w:numFmt w:val="decimal"/>
      <w:lvlText w:val="(%4)"/>
      <w:lvlJc w:val="start"/>
      <w:pPr>
        <w:tabs>
          <w:tab w:val="num" w:pos="144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">
    <w:name w:val="Table"/>
    <w:basedOn w:val="Normal"/>
    <w:qFormat/>
    <w:pPr>
      <w:keepNext w:val="true"/>
      <w:keepLines/>
      <w:overflowPunct w:val="false"/>
      <w:autoSpaceDE w:val="false"/>
      <w:textAlignment w:val="baseline"/>
    </w:pPr>
    <w:rPr>
      <w:rFonts w:ascii="Arial" w:hAnsi="Arial" w:cs="Arial"/>
      <w:sz w:val="20"/>
      <w:szCs w:val="20"/>
    </w:rPr>
  </w:style>
  <w:style w:type="paragraph" w:styleId="Table-FirstRow">
    <w:name w:val="Table - First Row"/>
    <w:basedOn w:val="Table"/>
    <w:qFormat/>
    <w:pPr>
      <w:spacing w:before="120" w:after="0"/>
    </w:pPr>
    <w:rPr/>
  </w:style>
  <w:style w:type="paragraph" w:styleId="Table-LastRow">
    <w:name w:val="Table - Last Row"/>
    <w:basedOn w:val="Table"/>
    <w:qFormat/>
    <w:pPr>
      <w:keepNext w:val="false"/>
      <w:spacing w:before="12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2001-04-18T00:02:00Z</dcterms:created>
  <dc:creator>Energy </dc:creator>
  <dc:description/>
  <dc:language>en-CA</dc:language>
  <cp:lastModifiedBy>Energy </cp:lastModifiedBy>
  <cp:lastPrinted>2001-04-18T15:53:00Z</cp:lastPrinted>
  <dcterms:modified xsi:type="dcterms:W3CDTF">2001-04-18T21:35:00Z</dcterms:modified>
  <cp:revision>24</cp:revision>
  <dc:subject/>
  <dc:title>Comparison Exhibit</dc:title>
</cp:coreProperties>
</file>